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34DFD" w14:textId="77777777" w:rsidR="00EC6330" w:rsidRDefault="00EC6330" w:rsidP="00BD7141">
      <w:pPr>
        <w:rPr>
          <w:b/>
          <w:bCs/>
        </w:rPr>
      </w:pPr>
      <w:r>
        <w:rPr>
          <w:b/>
          <w:bCs/>
          <w:noProof/>
        </w:rPr>
        <w:drawing>
          <wp:anchor distT="0" distB="0" distL="114300" distR="114300" simplePos="0" relativeHeight="251658240" behindDoc="1" locked="0" layoutInCell="1" allowOverlap="1" wp14:anchorId="1F9AFEF8" wp14:editId="321FB578">
            <wp:simplePos x="0" y="0"/>
            <wp:positionH relativeFrom="margin">
              <wp:align>center</wp:align>
            </wp:positionH>
            <wp:positionV relativeFrom="page">
              <wp:posOffset>342900</wp:posOffset>
            </wp:positionV>
            <wp:extent cx="4196035" cy="1455420"/>
            <wp:effectExtent l="0" t="0" r="0" b="0"/>
            <wp:wrapNone/>
            <wp:docPr id="2028755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96035" cy="1455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99606E" w14:textId="77777777" w:rsidR="00EC6330" w:rsidRDefault="00EC6330" w:rsidP="00BD7141">
      <w:pPr>
        <w:rPr>
          <w:b/>
          <w:bCs/>
        </w:rPr>
      </w:pPr>
    </w:p>
    <w:p w14:paraId="2B38EE85" w14:textId="77777777" w:rsidR="00EC6330" w:rsidRDefault="00EC6330" w:rsidP="00BD7141">
      <w:pPr>
        <w:rPr>
          <w:b/>
          <w:bCs/>
        </w:rPr>
      </w:pPr>
    </w:p>
    <w:p w14:paraId="13CEC403" w14:textId="2BF264CA" w:rsidR="004F455E" w:rsidRPr="00FE3052" w:rsidRDefault="0CFB5969" w:rsidP="00EC6330">
      <w:pPr>
        <w:jc w:val="center"/>
        <w:rPr>
          <w:rFonts w:ascii="Montserrat" w:hAnsi="Montserrat"/>
          <w:b/>
          <w:bCs/>
          <w:color w:val="000000" w:themeColor="text1"/>
          <w:sz w:val="28"/>
          <w:szCs w:val="28"/>
        </w:rPr>
      </w:pPr>
      <w:r w:rsidRPr="00FE3052">
        <w:rPr>
          <w:rFonts w:ascii="Montserrat" w:hAnsi="Montserrat"/>
          <w:b/>
          <w:bCs/>
          <w:color w:val="000000" w:themeColor="text1"/>
          <w:sz w:val="28"/>
          <w:szCs w:val="28"/>
        </w:rPr>
        <w:t>Supplemental Nutrition Assistance Program</w:t>
      </w:r>
      <w:r w:rsidR="00EC6330" w:rsidRPr="00FE3052">
        <w:rPr>
          <w:rFonts w:ascii="Montserrat" w:hAnsi="Montserrat"/>
          <w:b/>
          <w:bCs/>
          <w:color w:val="000000" w:themeColor="text1"/>
          <w:sz w:val="28"/>
          <w:szCs w:val="28"/>
        </w:rPr>
        <w:t xml:space="preserve"> (SNAP)</w:t>
      </w:r>
    </w:p>
    <w:p w14:paraId="43F06EC0" w14:textId="723273E7" w:rsidR="004F455E" w:rsidRPr="00FE3052" w:rsidRDefault="004F455E" w:rsidP="00FE3052">
      <w:pPr>
        <w:spacing w:after="0"/>
        <w:jc w:val="center"/>
        <w:rPr>
          <w:rFonts w:ascii="Montserrat" w:hAnsi="Montserrat"/>
          <w:b/>
          <w:bCs/>
          <w:color w:val="004439"/>
          <w:sz w:val="32"/>
          <w:szCs w:val="32"/>
        </w:rPr>
      </w:pPr>
      <w:r w:rsidRPr="00FE3052">
        <w:rPr>
          <w:rFonts w:ascii="Montserrat" w:hAnsi="Montserrat"/>
          <w:b/>
          <w:bCs/>
          <w:color w:val="004439"/>
          <w:sz w:val="32"/>
          <w:szCs w:val="32"/>
        </w:rPr>
        <w:t>New Costs,</w:t>
      </w:r>
      <w:r w:rsidR="00EC6330" w:rsidRPr="00FE3052">
        <w:rPr>
          <w:rFonts w:ascii="Montserrat" w:hAnsi="Montserrat"/>
          <w:b/>
          <w:bCs/>
          <w:color w:val="004439"/>
          <w:sz w:val="32"/>
          <w:szCs w:val="32"/>
        </w:rPr>
        <w:t xml:space="preserve"> </w:t>
      </w:r>
      <w:r w:rsidRPr="00FE3052">
        <w:rPr>
          <w:rFonts w:ascii="Montserrat" w:hAnsi="Montserrat"/>
          <w:b/>
          <w:bCs/>
          <w:color w:val="004439"/>
          <w:sz w:val="32"/>
          <w:szCs w:val="32"/>
        </w:rPr>
        <w:t>New Requirements,</w:t>
      </w:r>
    </w:p>
    <w:p w14:paraId="33360221" w14:textId="214089BA" w:rsidR="004F455E" w:rsidRPr="00FE3052" w:rsidRDefault="004F455E" w:rsidP="004F455E">
      <w:pPr>
        <w:jc w:val="center"/>
        <w:rPr>
          <w:rFonts w:ascii="Montserrat" w:hAnsi="Montserrat"/>
          <w:b/>
          <w:bCs/>
          <w:color w:val="8C754D"/>
          <w:sz w:val="32"/>
          <w:szCs w:val="32"/>
        </w:rPr>
      </w:pPr>
      <w:r w:rsidRPr="00FE3052">
        <w:rPr>
          <w:rFonts w:ascii="Montserrat" w:hAnsi="Montserrat"/>
          <w:b/>
          <w:bCs/>
          <w:color w:val="8C754D"/>
          <w:sz w:val="32"/>
          <w:szCs w:val="32"/>
        </w:rPr>
        <w:t>New Risks for New York Counties</w:t>
      </w:r>
    </w:p>
    <w:p w14:paraId="7925897F" w14:textId="77777777" w:rsidR="004F455E" w:rsidRPr="00FE3052" w:rsidRDefault="004F455E" w:rsidP="00FE3052">
      <w:pPr>
        <w:pStyle w:val="Heading1"/>
      </w:pPr>
      <w:r w:rsidRPr="00FE3052">
        <w:t>Introduction</w:t>
      </w:r>
    </w:p>
    <w:p w14:paraId="1CF042BA" w14:textId="05645742" w:rsidR="00CD0EA3" w:rsidRPr="005D713A" w:rsidRDefault="16A83323" w:rsidP="00CD0EA3">
      <w:pPr>
        <w:rPr>
          <w:rFonts w:cs="Tahoma"/>
        </w:rPr>
      </w:pPr>
      <w:r w:rsidRPr="005D713A">
        <w:rPr>
          <w:rFonts w:cs="Tahoma"/>
        </w:rPr>
        <w:t>The Supplemental Nutrition Assistance Program</w:t>
      </w:r>
      <w:r w:rsidR="00655C01" w:rsidRPr="005D713A">
        <w:rPr>
          <w:rFonts w:cs="Tahoma"/>
        </w:rPr>
        <w:t xml:space="preserve"> (</w:t>
      </w:r>
      <w:r w:rsidR="00655C01" w:rsidRPr="005D713A">
        <w:rPr>
          <w:rFonts w:cs="Tahoma"/>
          <w:b/>
          <w:bCs/>
        </w:rPr>
        <w:t>S</w:t>
      </w:r>
      <w:r w:rsidR="009A2302" w:rsidRPr="005D713A">
        <w:rPr>
          <w:rFonts w:cs="Tahoma"/>
          <w:b/>
          <w:bCs/>
        </w:rPr>
        <w:t>NAP</w:t>
      </w:r>
      <w:r w:rsidR="009A2302" w:rsidRPr="005D713A">
        <w:rPr>
          <w:rFonts w:cs="Tahoma"/>
        </w:rPr>
        <w:t>)</w:t>
      </w:r>
      <w:r w:rsidRPr="005D713A">
        <w:rPr>
          <w:rFonts w:cs="Tahoma"/>
        </w:rPr>
        <w:t xml:space="preserve"> is the nation’s largest food assistance program. It helps children, seniors, people with disabilities, working families, and residents facing financial hardship buy groceries and maintain access to food. </w:t>
      </w:r>
    </w:p>
    <w:p w14:paraId="0561A045" w14:textId="75D38E28" w:rsidR="005D5AD7" w:rsidRPr="005D713A" w:rsidRDefault="005D5AD7" w:rsidP="005D5AD7">
      <w:pPr>
        <w:rPr>
          <w:rFonts w:cs="Tahoma"/>
        </w:rPr>
      </w:pPr>
      <w:r w:rsidRPr="005D713A">
        <w:rPr>
          <w:rFonts w:cs="Tahoma"/>
        </w:rPr>
        <w:t xml:space="preserve">In New York State, that federal benefit is administered locally through county Departments of Social Services (DSS), </w:t>
      </w:r>
      <w:r w:rsidR="022DB870" w:rsidRPr="005D713A">
        <w:rPr>
          <w:rFonts w:cs="Tahoma"/>
        </w:rPr>
        <w:t>guidance from the Office of Temporary and Disability Assistance (OTDA)</w:t>
      </w:r>
      <w:r w:rsidRPr="005D713A">
        <w:rPr>
          <w:rFonts w:cs="Tahoma"/>
        </w:rPr>
        <w:t>.</w:t>
      </w:r>
    </w:p>
    <w:p w14:paraId="0D4E387B" w14:textId="4BED915C" w:rsidR="005D5AD7" w:rsidRPr="005D713A" w:rsidRDefault="005D5AD7" w:rsidP="005D5AD7">
      <w:pPr>
        <w:rPr>
          <w:rFonts w:cs="Tahoma"/>
        </w:rPr>
      </w:pPr>
      <w:r w:rsidRPr="005D713A">
        <w:rPr>
          <w:rFonts w:cs="Tahoma"/>
        </w:rPr>
        <w:t xml:space="preserve">SNAP benefits also bring federal dollars into local economies every month, moving through grocery stores, </w:t>
      </w:r>
      <w:r w:rsidR="7F7E9380" w:rsidRPr="005D713A">
        <w:rPr>
          <w:rFonts w:cs="Tahoma"/>
        </w:rPr>
        <w:t>farmers’</w:t>
      </w:r>
      <w:r w:rsidRPr="005D713A">
        <w:rPr>
          <w:rFonts w:cs="Tahoma"/>
        </w:rPr>
        <w:t xml:space="preserve"> markets, farm stands, small businesses, and local food producers. In Onondaga County alone, more than 62,000 residents rely on SNAP, representing approximately $150 million in benefits flowing into the local economy. </w:t>
      </w:r>
    </w:p>
    <w:p w14:paraId="46DAE689" w14:textId="65CB472E" w:rsidR="00837928" w:rsidRPr="005D713A" w:rsidRDefault="7F137CF0" w:rsidP="10B985DB">
      <w:pPr>
        <w:rPr>
          <w:rFonts w:cs="Tahoma"/>
        </w:rPr>
      </w:pPr>
      <w:r w:rsidRPr="005D713A">
        <w:rPr>
          <w:rFonts w:cs="Tahoma"/>
        </w:rPr>
        <w:t>H.R.1 (the “</w:t>
      </w:r>
      <w:r w:rsidR="33509B9A" w:rsidRPr="005D713A">
        <w:rPr>
          <w:rFonts w:cs="Tahoma"/>
        </w:rPr>
        <w:t xml:space="preserve">One </w:t>
      </w:r>
      <w:r w:rsidR="64C20B8E" w:rsidRPr="005D713A">
        <w:rPr>
          <w:rFonts w:cs="Tahoma"/>
        </w:rPr>
        <w:t xml:space="preserve">Big </w:t>
      </w:r>
      <w:r w:rsidR="3755376B" w:rsidRPr="005D713A">
        <w:rPr>
          <w:rFonts w:cs="Tahoma"/>
        </w:rPr>
        <w:t xml:space="preserve">Beautiful </w:t>
      </w:r>
      <w:r w:rsidR="0EA6F395" w:rsidRPr="005D713A">
        <w:rPr>
          <w:rFonts w:cs="Tahoma"/>
        </w:rPr>
        <w:t xml:space="preserve">Bill </w:t>
      </w:r>
      <w:r w:rsidR="600AA6D6" w:rsidRPr="005D713A">
        <w:rPr>
          <w:rFonts w:cs="Tahoma"/>
        </w:rPr>
        <w:t>Act</w:t>
      </w:r>
      <w:r w:rsidR="5350D19E" w:rsidRPr="005D713A">
        <w:rPr>
          <w:rFonts w:cs="Tahoma"/>
        </w:rPr>
        <w:t>”)</w:t>
      </w:r>
      <w:r w:rsidR="600AA6D6" w:rsidRPr="005D713A">
        <w:rPr>
          <w:rFonts w:cs="Tahoma"/>
        </w:rPr>
        <w:t xml:space="preserve">, </w:t>
      </w:r>
      <w:r w:rsidR="466FF213" w:rsidRPr="005D713A">
        <w:rPr>
          <w:rFonts w:cs="Tahoma"/>
        </w:rPr>
        <w:t>signed into law on July 4, 2025</w:t>
      </w:r>
      <w:r w:rsidR="7EE9423B" w:rsidRPr="005D713A">
        <w:rPr>
          <w:rFonts w:cs="Tahoma"/>
        </w:rPr>
        <w:t>,</w:t>
      </w:r>
      <w:r w:rsidR="00320A72" w:rsidRPr="005D713A">
        <w:rPr>
          <w:rFonts w:cs="Tahoma"/>
        </w:rPr>
        <w:t xml:space="preserve"> </w:t>
      </w:r>
      <w:r w:rsidR="6437498E" w:rsidRPr="005D713A">
        <w:rPr>
          <w:rFonts w:cs="Tahoma"/>
        </w:rPr>
        <w:t xml:space="preserve">will significantly </w:t>
      </w:r>
      <w:r w:rsidR="112D038E" w:rsidRPr="005D713A">
        <w:rPr>
          <w:rFonts w:cs="Tahoma"/>
        </w:rPr>
        <w:t xml:space="preserve">alter </w:t>
      </w:r>
      <w:r w:rsidR="4E111149" w:rsidRPr="005D713A">
        <w:rPr>
          <w:rFonts w:cs="Tahoma"/>
        </w:rPr>
        <w:t xml:space="preserve">SNAP </w:t>
      </w:r>
      <w:r w:rsidR="4C7355BD" w:rsidRPr="005D713A">
        <w:rPr>
          <w:rFonts w:cs="Tahoma"/>
        </w:rPr>
        <w:t>funding, administration, and eligibility</w:t>
      </w:r>
      <w:r w:rsidR="23F40453" w:rsidRPr="005D713A">
        <w:rPr>
          <w:rFonts w:cs="Tahoma"/>
        </w:rPr>
        <w:t xml:space="preserve">. </w:t>
      </w:r>
      <w:r w:rsidR="3CF3D727" w:rsidRPr="005D713A">
        <w:rPr>
          <w:rFonts w:cs="Tahoma"/>
        </w:rPr>
        <w:t xml:space="preserve">When </w:t>
      </w:r>
      <w:r w:rsidR="501030CE" w:rsidRPr="005D713A">
        <w:rPr>
          <w:rFonts w:cs="Tahoma"/>
        </w:rPr>
        <w:t>H.</w:t>
      </w:r>
      <w:r w:rsidR="1C6B78E9" w:rsidRPr="005D713A">
        <w:rPr>
          <w:rFonts w:cs="Tahoma"/>
        </w:rPr>
        <w:t>R.</w:t>
      </w:r>
      <w:r w:rsidR="7C15FCF4" w:rsidRPr="005D713A">
        <w:rPr>
          <w:rFonts w:cs="Tahoma"/>
        </w:rPr>
        <w:t xml:space="preserve"> 1</w:t>
      </w:r>
      <w:r w:rsidR="5BAE9DA0" w:rsidRPr="005D713A">
        <w:rPr>
          <w:rFonts w:cs="Tahoma"/>
        </w:rPr>
        <w:t>’s administrative cost shift</w:t>
      </w:r>
      <w:r w:rsidR="5BAE9DA0" w:rsidRPr="005D713A">
        <w:rPr>
          <w:rFonts w:eastAsia="Aptos" w:cs="Tahoma"/>
          <w:color w:val="751D20"/>
          <w:u w:val="single"/>
        </w:rPr>
        <w:t xml:space="preserve"> </w:t>
      </w:r>
      <w:r w:rsidR="1C6B78E9" w:rsidRPr="005D713A">
        <w:rPr>
          <w:rFonts w:cs="Tahoma"/>
        </w:rPr>
        <w:t>takes</w:t>
      </w:r>
      <w:r w:rsidR="00320A72" w:rsidRPr="005D713A">
        <w:rPr>
          <w:rFonts w:cs="Tahoma"/>
        </w:rPr>
        <w:t xml:space="preserve"> effect</w:t>
      </w:r>
      <w:r w:rsidR="297B3373" w:rsidRPr="005D713A">
        <w:rPr>
          <w:rFonts w:cs="Tahoma"/>
        </w:rPr>
        <w:t xml:space="preserve"> </w:t>
      </w:r>
      <w:r w:rsidR="03D65E7D" w:rsidRPr="005D713A">
        <w:rPr>
          <w:rFonts w:cs="Tahoma"/>
        </w:rPr>
        <w:t>in October 2026</w:t>
      </w:r>
      <w:r w:rsidR="55F0337D" w:rsidRPr="005D713A">
        <w:rPr>
          <w:rFonts w:cs="Tahoma"/>
        </w:rPr>
        <w:t>,</w:t>
      </w:r>
      <w:r w:rsidR="2C5A90A4" w:rsidRPr="005D713A">
        <w:rPr>
          <w:rFonts w:cs="Tahoma"/>
        </w:rPr>
        <w:t xml:space="preserve"> </w:t>
      </w:r>
      <w:r w:rsidR="6C07C05E" w:rsidRPr="005D713A">
        <w:rPr>
          <w:rFonts w:cs="Tahoma"/>
        </w:rPr>
        <w:t xml:space="preserve">SNAP recipients </w:t>
      </w:r>
      <w:r w:rsidR="00320A72" w:rsidRPr="005D713A">
        <w:rPr>
          <w:rFonts w:cs="Tahoma"/>
        </w:rPr>
        <w:t>will continue to need food assistance</w:t>
      </w:r>
      <w:r w:rsidR="64FEB152" w:rsidRPr="005D713A">
        <w:rPr>
          <w:rFonts w:cs="Tahoma"/>
        </w:rPr>
        <w:t>,</w:t>
      </w:r>
      <w:r w:rsidR="00320A72" w:rsidRPr="005D713A">
        <w:rPr>
          <w:rFonts w:cs="Tahoma"/>
        </w:rPr>
        <w:t xml:space="preserve"> while DSS staff </w:t>
      </w:r>
      <w:r w:rsidR="7E13F34B" w:rsidRPr="005D713A">
        <w:rPr>
          <w:rFonts w:cs="Tahoma"/>
        </w:rPr>
        <w:t xml:space="preserve">will have to </w:t>
      </w:r>
      <w:r w:rsidR="4AFFA7DB" w:rsidRPr="005D713A">
        <w:rPr>
          <w:rFonts w:cs="Tahoma"/>
        </w:rPr>
        <w:t xml:space="preserve">explain </w:t>
      </w:r>
      <w:r w:rsidR="48476C6E" w:rsidRPr="005D713A">
        <w:rPr>
          <w:rFonts w:cs="Tahoma"/>
        </w:rPr>
        <w:t xml:space="preserve">more </w:t>
      </w:r>
      <w:r w:rsidR="4BC248CB" w:rsidRPr="005D713A">
        <w:rPr>
          <w:rFonts w:cs="Tahoma"/>
        </w:rPr>
        <w:t xml:space="preserve">rules, </w:t>
      </w:r>
      <w:r w:rsidR="72889E2E" w:rsidRPr="005D713A">
        <w:rPr>
          <w:rFonts w:cs="Tahoma"/>
        </w:rPr>
        <w:t xml:space="preserve">verify more </w:t>
      </w:r>
      <w:r w:rsidR="611E5A2F" w:rsidRPr="005D713A">
        <w:rPr>
          <w:rFonts w:cs="Tahoma"/>
        </w:rPr>
        <w:t xml:space="preserve">documents, </w:t>
      </w:r>
      <w:r w:rsidR="7120FB44" w:rsidRPr="005D713A">
        <w:rPr>
          <w:rFonts w:cs="Tahoma"/>
        </w:rPr>
        <w:t xml:space="preserve">and </w:t>
      </w:r>
      <w:r w:rsidR="067E22C6" w:rsidRPr="005D713A">
        <w:rPr>
          <w:rFonts w:cs="Tahoma"/>
        </w:rPr>
        <w:t xml:space="preserve">the </w:t>
      </w:r>
      <w:r w:rsidR="25F8D71D" w:rsidRPr="005D713A">
        <w:rPr>
          <w:rFonts w:cs="Tahoma"/>
        </w:rPr>
        <w:t xml:space="preserve">overall costs </w:t>
      </w:r>
      <w:r w:rsidR="2AFEA19B" w:rsidRPr="005D713A">
        <w:rPr>
          <w:rFonts w:cs="Tahoma"/>
        </w:rPr>
        <w:t xml:space="preserve">of </w:t>
      </w:r>
      <w:r w:rsidR="67F231D6" w:rsidRPr="005D713A">
        <w:rPr>
          <w:rFonts w:cs="Tahoma"/>
        </w:rPr>
        <w:t xml:space="preserve">administration will </w:t>
      </w:r>
      <w:r w:rsidR="0C3C376A" w:rsidRPr="005D713A">
        <w:rPr>
          <w:rFonts w:cs="Tahoma"/>
        </w:rPr>
        <w:t xml:space="preserve">more </w:t>
      </w:r>
      <w:r w:rsidR="54F9A2BC" w:rsidRPr="005D713A">
        <w:rPr>
          <w:rFonts w:cs="Tahoma"/>
        </w:rPr>
        <w:t xml:space="preserve">than </w:t>
      </w:r>
      <w:r w:rsidR="5FEBBB52" w:rsidRPr="005D713A">
        <w:rPr>
          <w:rFonts w:cs="Tahoma"/>
        </w:rPr>
        <w:t xml:space="preserve">double. </w:t>
      </w:r>
    </w:p>
    <w:p w14:paraId="28D2CBDF" w14:textId="47A68FF5" w:rsidR="004F455E" w:rsidRDefault="004F455E" w:rsidP="00FE3052">
      <w:pPr>
        <w:pStyle w:val="Heading1"/>
      </w:pPr>
      <w:r w:rsidRPr="004F455E">
        <w:t>Background</w:t>
      </w:r>
    </w:p>
    <w:p w14:paraId="1372AD46" w14:textId="4BA3E53A" w:rsidR="004D7922" w:rsidRPr="004D7922" w:rsidRDefault="004D7922" w:rsidP="00CD0EA3">
      <w:r w:rsidRPr="004D7922">
        <w:t>New York counties’ role in SNAP is rooted in the state’s broader public welfare history</w:t>
      </w:r>
      <w:r>
        <w:t xml:space="preserve">. </w:t>
      </w:r>
      <w:r w:rsidRPr="004D7922">
        <w:t>Before the modern Food Stamp</w:t>
      </w:r>
      <w:r w:rsidR="00533565">
        <w:t xml:space="preserve">, our </w:t>
      </w:r>
      <w:r w:rsidRPr="004D7922">
        <w:t xml:space="preserve">public welfare system had already moved away from the older Poor Law framework, which relied on local poor relief, poorhouses, and a patchwork of county-specific laws. The Public Welfare Law of 1929 reorganized that fragmented system by clarifying the financial responsibilities of counties, giving welfare officials broad authority to aid </w:t>
      </w:r>
      <w:r w:rsidR="00CD2632">
        <w:t>resi</w:t>
      </w:r>
      <w:r w:rsidR="0058097B">
        <w:t>dents</w:t>
      </w:r>
      <w:r w:rsidRPr="004D7922">
        <w:t xml:space="preserve"> in need, </w:t>
      </w:r>
      <w:r w:rsidR="00523B38">
        <w:t>an</w:t>
      </w:r>
      <w:r w:rsidR="00EE7D17">
        <w:t xml:space="preserve">d </w:t>
      </w:r>
      <w:r w:rsidR="00873F82">
        <w:t>shift</w:t>
      </w:r>
      <w:r w:rsidR="00893C5C">
        <w:t>ing t</w:t>
      </w:r>
      <w:r w:rsidR="00873F82">
        <w:t xml:space="preserve">oward </w:t>
      </w:r>
      <w:r w:rsidRPr="004D7922">
        <w:t>home care and medical care rather than reliance on institutional poor relief. </w:t>
      </w:r>
    </w:p>
    <w:p w14:paraId="22EBCFCB" w14:textId="4FB0CF49" w:rsidR="00E85A61" w:rsidRPr="00E85A61" w:rsidRDefault="00E85A61" w:rsidP="00E85A61">
      <w:r w:rsidRPr="00E85A61">
        <w:lastRenderedPageBreak/>
        <w:t xml:space="preserve">The 1938 State Constitution reinforced that local-state responsibility by making the aid, care, and support </w:t>
      </w:r>
      <w:r w:rsidR="6FDCEF23">
        <w:t xml:space="preserve">for </w:t>
      </w:r>
      <w:r w:rsidRPr="00E85A61">
        <w:t>residents in need</w:t>
      </w:r>
      <w:r w:rsidR="38BAB0C4">
        <w:t>,</w:t>
      </w:r>
      <w:r w:rsidRPr="00E85A61">
        <w:t> a public obligation of the state and its subdivisions. By the time the federal Food Stamp Program expanded in the 1960s, New York already had a state-supervised, locally administered system for public assistance. New York implemented the federal food assistance program through the same county-administered social services structure already used for public welfare programs. </w:t>
      </w:r>
    </w:p>
    <w:p w14:paraId="50CC8F70" w14:textId="21BEF2E9" w:rsidR="00F955A3" w:rsidRDefault="00E85A61" w:rsidP="00E85A61">
      <w:r w:rsidRPr="00E85A61">
        <w:t>Today, the State oversees SNAP through the Office of Temporary and Disability Assistance</w:t>
      </w:r>
      <w:r w:rsidR="007A6865">
        <w:t xml:space="preserve"> (</w:t>
      </w:r>
      <w:r w:rsidR="009866D9">
        <w:t>OT</w:t>
      </w:r>
      <w:r w:rsidR="00322221">
        <w:t>DA</w:t>
      </w:r>
      <w:r w:rsidR="00EF0026">
        <w:t>)</w:t>
      </w:r>
      <w:r w:rsidRPr="00E85A61">
        <w:t xml:space="preserve">, while county </w:t>
      </w:r>
      <w:r w:rsidR="007306E8">
        <w:t>DS</w:t>
      </w:r>
      <w:r w:rsidR="00443F67">
        <w:t>S</w:t>
      </w:r>
      <w:r w:rsidRPr="00E85A61">
        <w:t xml:space="preserve"> and New York City’s Human Resources Administration carry out the front-line work of reviewing applications, verifying eligibility, determining benefit levels, managing recertifications, and handling disputes. Counties have not historically paid the SNAP benefit itself. Benefits have been federally funded and delivered to eligible households through the federal-state benefit system</w:t>
      </w:r>
      <w:r w:rsidR="00F955A3">
        <w:t xml:space="preserve">, with counties in New York </w:t>
      </w:r>
      <w:r w:rsidRPr="00E85A61">
        <w:t>responsib</w:t>
      </w:r>
      <w:r w:rsidR="00F955A3">
        <w:t xml:space="preserve">le for administration. </w:t>
      </w:r>
    </w:p>
    <w:p w14:paraId="31DCB8AB" w14:textId="560A2176" w:rsidR="00F12408" w:rsidRDefault="00F12408" w:rsidP="005D713A">
      <w:pPr>
        <w:pStyle w:val="Heading1"/>
      </w:pPr>
      <w:r>
        <w:t xml:space="preserve">Current County </w:t>
      </w:r>
      <w:r w:rsidR="3E0ECEC2" w:rsidRPr="3E0ECEC2">
        <w:t>Role in New York State</w:t>
      </w:r>
    </w:p>
    <w:p w14:paraId="4908AE47" w14:textId="77777777" w:rsidR="00CD0EA3" w:rsidRDefault="00CD0EA3" w:rsidP="00CD0EA3">
      <w:r w:rsidRPr="00CD0EA3">
        <w:t>New York is one of 10 states where counties administer SNAP, along with California, Colorado, Minnesota, New Jersey, North Carolina, North Dakota, Ohio, Virginia, and Wisconsin. These county-administered states represent approximately 34% of total SNAP participants, or 14.6 million people. Nine of them, excluding Wisconsin, also administer TANF at the county level. New York is also one of only three states, along with New Jersey and North Carolina, where counties are responsible for paying the full non-federal share of SNAP administrative costs. Other county-administered states provide partial administrative support, except North Dakota, where the state pays the full non-federal share.</w:t>
      </w:r>
    </w:p>
    <w:p w14:paraId="1995FFF9" w14:textId="77777777" w:rsidR="002771ED" w:rsidRPr="002771ED" w:rsidRDefault="002771ED" w:rsidP="002771ED">
      <w:r w:rsidRPr="002771ED">
        <w:t xml:space="preserve">County DSS offices carry out </w:t>
      </w:r>
      <w:proofErr w:type="gramStart"/>
      <w:r w:rsidRPr="002771ED">
        <w:t>the work</w:t>
      </w:r>
      <w:proofErr w:type="gramEnd"/>
      <w:r w:rsidRPr="002771ED">
        <w:t xml:space="preserve"> that determines whether residents receive benefits on time. Local departments review applications, verify income and household information, request missing documentation, determine eligibility, calculate benefit amounts, manage recertifications, and handle fair hearings. Local districts must act within seven days for expedited cases and within 30 days for non-expedited cases.</w:t>
      </w:r>
    </w:p>
    <w:p w14:paraId="2A89AD74" w14:textId="1415CDD9" w:rsidR="002771ED" w:rsidRDefault="002771ED" w:rsidP="002771ED">
      <w:r w:rsidRPr="002771ED">
        <w:t>Benefit payments move through the federal-state benefit system, while counties operate the local eligibility process residents rely on to receive and keep assistance. When federal administrative reimbursement is reduced or program requirements expand, that pressure weighs on county DSS offices, county budgets, local taxpayers, and residents at the same time. Residents wait longer for food assistance, food banks see more demand, and county staff are left managing a more complex federal program with limited local resources.</w:t>
      </w:r>
    </w:p>
    <w:p w14:paraId="4DAE0006" w14:textId="77777777" w:rsidR="007C492E" w:rsidRPr="002771ED" w:rsidRDefault="007C492E" w:rsidP="002771ED"/>
    <w:p w14:paraId="0C5F60B1" w14:textId="4336A543" w:rsidR="004F455E" w:rsidRPr="004F455E" w:rsidRDefault="004F455E" w:rsidP="005D713A">
      <w:pPr>
        <w:pStyle w:val="Heading1"/>
      </w:pPr>
      <w:r w:rsidRPr="004F455E">
        <w:lastRenderedPageBreak/>
        <w:t>By the Numbers</w:t>
      </w:r>
    </w:p>
    <w:p w14:paraId="27EE158A" w14:textId="63424290" w:rsidR="00B54159" w:rsidRDefault="00B54159" w:rsidP="00B54159">
      <w:r w:rsidRPr="008D1C2A">
        <w:t>Nearly three million New Yorkers rely on SNAP each month. In January 2025, residents received $655.9 million in benefits, including $423.9 million in New York City and millions more in county economies across the state. Nationally, SNAP served an average of 42.1 million people per month in FY 2025, with $95 billion in benefits issued.</w:t>
      </w:r>
    </w:p>
    <w:p w14:paraId="5E6C8883" w14:textId="77777777" w:rsidR="00214823" w:rsidRDefault="00A03D7D" w:rsidP="00CD0EA3">
      <w:r w:rsidRPr="00A03D7D">
        <w:t>For every meal provided by food banks and partner pantries, SNAP provides nine. If SNAP access weakens or applications are delayed, emergency food providers will face more demand from residents who should be receiving timely federal food assistance. Food banks are essential partners, but they are not designed to replace a federal benefit serving millions of New Yorkers.</w:t>
      </w:r>
    </w:p>
    <w:p w14:paraId="0A633B12" w14:textId="38424FE5" w:rsidR="00CD0EA3" w:rsidRPr="00CD0EA3" w:rsidRDefault="00CD0EA3" w:rsidP="005D713A">
      <w:pPr>
        <w:pStyle w:val="Heading1"/>
      </w:pPr>
      <w:r w:rsidRPr="00CD0EA3">
        <w:t xml:space="preserve">H.R. 1 </w:t>
      </w:r>
      <w:r w:rsidR="008D5F7A">
        <w:t xml:space="preserve">Adds New </w:t>
      </w:r>
      <w:r w:rsidRPr="00CD0EA3">
        <w:t xml:space="preserve">Costs </w:t>
      </w:r>
      <w:r w:rsidR="2E799E98" w:rsidRPr="2E799E98">
        <w:t>and</w:t>
      </w:r>
      <w:r w:rsidR="008D5F7A">
        <w:t xml:space="preserve"> </w:t>
      </w:r>
      <w:r w:rsidRPr="00CD0EA3">
        <w:t>Increas</w:t>
      </w:r>
      <w:r w:rsidR="008D5F7A">
        <w:t xml:space="preserve">es County </w:t>
      </w:r>
      <w:r w:rsidRPr="00CD0EA3">
        <w:t>Workload</w:t>
      </w:r>
      <w:r w:rsidR="008D5F7A">
        <w:t>s</w:t>
      </w:r>
    </w:p>
    <w:p w14:paraId="2B415B2F" w14:textId="64DA1107" w:rsidR="008D5F7A" w:rsidRDefault="00CD0EA3" w:rsidP="00CD0EA3">
      <w:r w:rsidRPr="00CD0EA3">
        <w:t xml:space="preserve">Beginning October 1, 2026, </w:t>
      </w:r>
      <w:r w:rsidR="008D5F7A">
        <w:t>the One Big Beautiful Bill Act (H.R. 1)</w:t>
      </w:r>
      <w:r w:rsidR="008D5F7A" w:rsidRPr="00CD0EA3">
        <w:t xml:space="preserve"> </w:t>
      </w:r>
      <w:r w:rsidR="008D5F7A">
        <w:t xml:space="preserve">will shift an </w:t>
      </w:r>
      <w:r w:rsidR="008D5F7A" w:rsidRPr="00CD0EA3">
        <w:t>estimated $168 million in new annual costs</w:t>
      </w:r>
      <w:r w:rsidR="008D5F7A">
        <w:t xml:space="preserve"> to counties and New York City by dropping the federal </w:t>
      </w:r>
      <w:r w:rsidRPr="00CD0EA3">
        <w:t>share of SNAP administrative funding from 50% to 25%.</w:t>
      </w:r>
    </w:p>
    <w:p w14:paraId="2602E5FE" w14:textId="77777777" w:rsidR="00CD0EA3" w:rsidRPr="00CD0EA3" w:rsidRDefault="00CD0EA3" w:rsidP="00CD0EA3">
      <w:r w:rsidRPr="00CD0EA3">
        <w:t>This is not a one-time expense. It is a permanent cost shift onto local governments already managing state and federal mandates, workforce shortages, rising service demands, and the property tax cap. Without state or federal relief, counties will face harder choices: raise local taxes, reduce services, or stretch already strained DSS offices even further.</w:t>
      </w:r>
    </w:p>
    <w:p w14:paraId="583E06E1" w14:textId="77777777" w:rsidR="00CD0EA3" w:rsidRPr="00CD0EA3" w:rsidRDefault="00CD0EA3" w:rsidP="00CD0EA3">
      <w:r w:rsidRPr="00CD0EA3">
        <w:t>H.R. 1 also adds stricter eligibility parameters, more frequent verification, and expanded work requirements. These federally mandated changes are locally administered and will require counties to expand DSS workforce capacity, upgrade information technology systems, and provide more intensive training with little lead time and insufficient transition support.</w:t>
      </w:r>
    </w:p>
    <w:p w14:paraId="5E9ADC20" w14:textId="77777777" w:rsidR="00CD0EA3" w:rsidRPr="00CD0EA3" w:rsidRDefault="00CD0EA3" w:rsidP="00CD0EA3">
      <w:r w:rsidRPr="00CD0EA3">
        <w:t>The local impact will vary by county size and caseload, but no county is insulated. Greene County expects nearly $245,000 in new costs for the final quarter of 2026 and more than $980,000 annually, while Hamilton County faces nearly $30,000 in added costs. For counties operating under the property tax cap, these numbers cannot simply be absorbed.</w:t>
      </w:r>
    </w:p>
    <w:p w14:paraId="75FB9129" w14:textId="77777777" w:rsidR="00CD0EA3" w:rsidRDefault="00CD0EA3" w:rsidP="00CD0EA3">
      <w:r w:rsidRPr="00CD0EA3">
        <w:t>The law also changes some benefit calculations, eliminates federal SNAP-Ed funding, and narrows eligibility for some noncitizens, adding further pressure to a program already facing major administrative and fiscal changes.</w:t>
      </w:r>
    </w:p>
    <w:p w14:paraId="644373DC" w14:textId="77777777" w:rsidR="00AF6153" w:rsidRDefault="00AF6153" w:rsidP="00CD0EA3"/>
    <w:p w14:paraId="1D06FC1B" w14:textId="77777777" w:rsidR="00AF6153" w:rsidRDefault="00AF6153" w:rsidP="00CD0EA3"/>
    <w:p w14:paraId="638A9BA1" w14:textId="77777777" w:rsidR="00AF6153" w:rsidRDefault="00AF6153" w:rsidP="00CD0EA3"/>
    <w:tbl>
      <w:tblPr>
        <w:tblW w:w="9919" w:type="dxa"/>
        <w:tblInd w:w="3" w:type="dxa"/>
        <w:tblCellMar>
          <w:left w:w="0" w:type="dxa"/>
          <w:right w:w="0" w:type="dxa"/>
        </w:tblCellMar>
        <w:tblLook w:val="04A0" w:firstRow="1" w:lastRow="0" w:firstColumn="1" w:lastColumn="0" w:noHBand="0" w:noVBand="1"/>
      </w:tblPr>
      <w:tblGrid>
        <w:gridCol w:w="1982"/>
        <w:gridCol w:w="2084"/>
        <w:gridCol w:w="1718"/>
        <w:gridCol w:w="2115"/>
        <w:gridCol w:w="2020"/>
      </w:tblGrid>
      <w:tr w:rsidR="004E2ABF" w:rsidRPr="00F12408" w14:paraId="2FF05118" w14:textId="77777777" w:rsidTr="004E2ABF">
        <w:trPr>
          <w:trHeight w:val="600"/>
        </w:trPr>
        <w:tc>
          <w:tcPr>
            <w:tcW w:w="9919" w:type="dxa"/>
            <w:gridSpan w:val="5"/>
            <w:tcBorders>
              <w:top w:val="single" w:sz="12" w:space="0" w:color="auto"/>
              <w:left w:val="single" w:sz="12" w:space="0" w:color="auto"/>
              <w:bottom w:val="single" w:sz="8" w:space="0" w:color="auto"/>
              <w:right w:val="single" w:sz="12" w:space="0" w:color="auto"/>
            </w:tcBorders>
            <w:shd w:val="clear" w:color="auto" w:fill="004439"/>
            <w:noWrap/>
            <w:tcMar>
              <w:top w:w="0" w:type="dxa"/>
              <w:left w:w="108" w:type="dxa"/>
              <w:bottom w:w="0" w:type="dxa"/>
              <w:right w:w="108" w:type="dxa"/>
            </w:tcMar>
            <w:vAlign w:val="bottom"/>
            <w:hideMark/>
          </w:tcPr>
          <w:p w14:paraId="1B83F23A" w14:textId="369257E3" w:rsidR="004E2ABF" w:rsidRPr="00F12408" w:rsidRDefault="004E2ABF" w:rsidP="004E2ABF">
            <w:pPr>
              <w:spacing w:before="240"/>
              <w:jc w:val="center"/>
              <w:rPr>
                <w:b/>
                <w:bCs/>
              </w:rPr>
            </w:pPr>
            <w:r w:rsidRPr="00AC78B5">
              <w:rPr>
                <w:rFonts w:ascii="Montserrat ExtraBold" w:hAnsi="Montserrat ExtraBold"/>
                <w:b/>
                <w:bCs/>
                <w:sz w:val="32"/>
                <w:szCs w:val="32"/>
              </w:rPr>
              <w:lastRenderedPageBreak/>
              <w:t>SNAP ADMINISTRATIVE COST SHIFT</w:t>
            </w:r>
          </w:p>
        </w:tc>
      </w:tr>
      <w:tr w:rsidR="00F12408" w:rsidRPr="00F12408" w14:paraId="5199F92B" w14:textId="77777777" w:rsidTr="00180257">
        <w:trPr>
          <w:trHeight w:val="1627"/>
        </w:trPr>
        <w:tc>
          <w:tcPr>
            <w:tcW w:w="1982" w:type="dxa"/>
            <w:tcBorders>
              <w:top w:val="nil"/>
              <w:left w:val="single" w:sz="12" w:space="0" w:color="auto"/>
              <w:bottom w:val="single" w:sz="4" w:space="0" w:color="auto"/>
              <w:right w:val="nil"/>
            </w:tcBorders>
            <w:shd w:val="clear" w:color="auto" w:fill="004439"/>
            <w:noWrap/>
            <w:tcMar>
              <w:top w:w="0" w:type="dxa"/>
              <w:left w:w="108" w:type="dxa"/>
              <w:bottom w:w="0" w:type="dxa"/>
              <w:right w:w="108" w:type="dxa"/>
            </w:tcMar>
            <w:vAlign w:val="bottom"/>
            <w:hideMark/>
          </w:tcPr>
          <w:p w14:paraId="3163DE23" w14:textId="77777777" w:rsidR="00F12408" w:rsidRPr="00EA5D18" w:rsidRDefault="00F12408" w:rsidP="00AC78B5">
            <w:pPr>
              <w:jc w:val="center"/>
              <w:rPr>
                <w:rFonts w:ascii="Montserrat ExtraBold" w:hAnsi="Montserrat ExtraBold"/>
              </w:rPr>
            </w:pPr>
            <w:r w:rsidRPr="00EA5D18">
              <w:rPr>
                <w:rFonts w:ascii="Montserrat ExtraBold" w:hAnsi="Montserrat ExtraBold"/>
              </w:rPr>
              <w:t>County</w:t>
            </w:r>
          </w:p>
        </w:tc>
        <w:tc>
          <w:tcPr>
            <w:tcW w:w="2084" w:type="dxa"/>
            <w:tcBorders>
              <w:top w:val="nil"/>
              <w:left w:val="single" w:sz="8" w:space="0" w:color="auto"/>
              <w:bottom w:val="single" w:sz="4" w:space="0" w:color="auto"/>
              <w:right w:val="single" w:sz="8" w:space="0" w:color="auto"/>
            </w:tcBorders>
            <w:shd w:val="clear" w:color="auto" w:fill="004439"/>
            <w:tcMar>
              <w:top w:w="0" w:type="dxa"/>
              <w:left w:w="108" w:type="dxa"/>
              <w:bottom w:w="0" w:type="dxa"/>
              <w:right w:w="108" w:type="dxa"/>
            </w:tcMar>
            <w:vAlign w:val="bottom"/>
            <w:hideMark/>
          </w:tcPr>
          <w:p w14:paraId="5F4DA514" w14:textId="77777777" w:rsidR="00F12408" w:rsidRPr="00EA5D18" w:rsidRDefault="00F12408" w:rsidP="00AC78B5">
            <w:pPr>
              <w:jc w:val="center"/>
              <w:rPr>
                <w:rFonts w:ascii="Montserrat ExtraBold" w:hAnsi="Montserrat ExtraBold"/>
              </w:rPr>
            </w:pPr>
            <w:r w:rsidRPr="00EA5D18">
              <w:rPr>
                <w:rFonts w:ascii="Montserrat ExtraBold" w:hAnsi="Montserrat ExtraBold"/>
              </w:rPr>
              <w:t>Annual Benefits Paid</w:t>
            </w:r>
          </w:p>
        </w:tc>
        <w:tc>
          <w:tcPr>
            <w:tcW w:w="1718" w:type="dxa"/>
            <w:tcBorders>
              <w:top w:val="nil"/>
              <w:left w:val="nil"/>
              <w:bottom w:val="single" w:sz="4" w:space="0" w:color="auto"/>
              <w:right w:val="nil"/>
            </w:tcBorders>
            <w:shd w:val="clear" w:color="auto" w:fill="004439"/>
            <w:tcMar>
              <w:top w:w="0" w:type="dxa"/>
              <w:left w:w="108" w:type="dxa"/>
              <w:bottom w:w="0" w:type="dxa"/>
              <w:right w:w="108" w:type="dxa"/>
            </w:tcMar>
            <w:vAlign w:val="bottom"/>
            <w:hideMark/>
          </w:tcPr>
          <w:p w14:paraId="40C2CB3B" w14:textId="77777777" w:rsidR="00F12408" w:rsidRPr="00EA5D18" w:rsidRDefault="00F12408" w:rsidP="00AC78B5">
            <w:pPr>
              <w:jc w:val="center"/>
              <w:rPr>
                <w:rFonts w:ascii="Montserrat ExtraBold" w:hAnsi="Montserrat ExtraBold"/>
              </w:rPr>
            </w:pPr>
            <w:r w:rsidRPr="00EA5D18">
              <w:rPr>
                <w:rFonts w:ascii="Montserrat ExtraBold" w:hAnsi="Montserrat ExtraBold"/>
              </w:rPr>
              <w:t>Individuals Served</w:t>
            </w:r>
          </w:p>
        </w:tc>
        <w:tc>
          <w:tcPr>
            <w:tcW w:w="2115" w:type="dxa"/>
            <w:tcBorders>
              <w:top w:val="nil"/>
              <w:left w:val="single" w:sz="8" w:space="0" w:color="auto"/>
              <w:bottom w:val="single" w:sz="4" w:space="0" w:color="auto"/>
              <w:right w:val="single" w:sz="12" w:space="0" w:color="auto"/>
            </w:tcBorders>
            <w:shd w:val="clear" w:color="auto" w:fill="8C754D"/>
            <w:tcMar>
              <w:top w:w="0" w:type="dxa"/>
              <w:left w:w="108" w:type="dxa"/>
              <w:bottom w:w="0" w:type="dxa"/>
              <w:right w:w="108" w:type="dxa"/>
            </w:tcMar>
            <w:vAlign w:val="bottom"/>
            <w:hideMark/>
          </w:tcPr>
          <w:p w14:paraId="0BFB5D8B" w14:textId="77777777" w:rsidR="00F12408" w:rsidRPr="00EA5D18" w:rsidRDefault="00F12408" w:rsidP="00AC78B5">
            <w:pPr>
              <w:jc w:val="center"/>
              <w:rPr>
                <w:rFonts w:ascii="Montserrat ExtraBold" w:hAnsi="Montserrat ExtraBold"/>
              </w:rPr>
            </w:pPr>
            <w:r w:rsidRPr="00AC78B5">
              <w:rPr>
                <w:rFonts w:ascii="Montserrat ExtraBold" w:hAnsi="Montserrat ExtraBold"/>
                <w:color w:val="E8E8E8" w:themeColor="background2"/>
              </w:rPr>
              <w:t>Administrative Cost Shift County Cost Increase</w:t>
            </w:r>
          </w:p>
        </w:tc>
        <w:tc>
          <w:tcPr>
            <w:tcW w:w="2020" w:type="dxa"/>
            <w:tcBorders>
              <w:top w:val="single" w:sz="8" w:space="0" w:color="auto"/>
              <w:left w:val="nil"/>
              <w:bottom w:val="single" w:sz="4" w:space="0" w:color="auto"/>
              <w:right w:val="single" w:sz="12" w:space="0" w:color="auto"/>
            </w:tcBorders>
            <w:shd w:val="clear" w:color="auto" w:fill="004439"/>
            <w:noWrap/>
            <w:tcMar>
              <w:top w:w="0" w:type="dxa"/>
              <w:left w:w="108" w:type="dxa"/>
              <w:bottom w:w="0" w:type="dxa"/>
              <w:right w:w="108" w:type="dxa"/>
            </w:tcMar>
            <w:vAlign w:val="bottom"/>
            <w:hideMark/>
          </w:tcPr>
          <w:p w14:paraId="45405F6F" w14:textId="77777777" w:rsidR="00F12408" w:rsidRPr="00EA5D18" w:rsidRDefault="00F12408" w:rsidP="00AC78B5">
            <w:pPr>
              <w:jc w:val="center"/>
              <w:rPr>
                <w:rFonts w:ascii="Montserrat ExtraBold" w:hAnsi="Montserrat ExtraBold"/>
              </w:rPr>
            </w:pPr>
            <w:r w:rsidRPr="00EA5D18">
              <w:rPr>
                <w:rFonts w:ascii="Montserrat ExtraBold" w:hAnsi="Montserrat ExtraBold"/>
              </w:rPr>
              <w:t>% of Total Benefits</w:t>
            </w:r>
          </w:p>
        </w:tc>
      </w:tr>
      <w:tr w:rsidR="00F12408" w:rsidRPr="00F12408" w14:paraId="5587E6DC" w14:textId="77777777" w:rsidTr="0041215C">
        <w:trPr>
          <w:trHeight w:val="324"/>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AF8CA47" w14:textId="7E920A66" w:rsidR="00F12408" w:rsidRPr="00F12408" w:rsidRDefault="00180257" w:rsidP="0041215C">
            <w:pPr>
              <w:jc w:val="center"/>
            </w:pPr>
            <w:r w:rsidRPr="00F12408">
              <w:t>Albany</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574CF99" w14:textId="2CD86072" w:rsidR="00F12408" w:rsidRPr="00F12408" w:rsidRDefault="00F12408" w:rsidP="0041215C">
            <w:pPr>
              <w:jc w:val="center"/>
            </w:pPr>
            <w:r w:rsidRPr="00F12408">
              <w:t>$76,301,030</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D4CF732" w14:textId="03F8BF39" w:rsidR="00F12408" w:rsidRPr="00F12408" w:rsidRDefault="00F12408" w:rsidP="0041215C">
            <w:pPr>
              <w:jc w:val="center"/>
            </w:pPr>
            <w:r w:rsidRPr="00F12408">
              <w:t>29,318</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CB43878" w14:textId="78CC9DF5" w:rsidR="00F12408" w:rsidRPr="00F12408" w:rsidRDefault="00F12408" w:rsidP="0041215C">
            <w:pPr>
              <w:jc w:val="center"/>
            </w:pPr>
            <w:r w:rsidRPr="00F12408">
              <w:t>$783,388</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8E71E72" w14:textId="77777777" w:rsidR="00F12408" w:rsidRPr="00F12408" w:rsidRDefault="00F12408" w:rsidP="0041215C">
            <w:pPr>
              <w:jc w:val="center"/>
            </w:pPr>
            <w:r w:rsidRPr="00F12408">
              <w:t>1.0%</w:t>
            </w:r>
          </w:p>
        </w:tc>
      </w:tr>
      <w:tr w:rsidR="00F12408" w:rsidRPr="00F12408" w14:paraId="06F995B5"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59B0720B" w14:textId="4C005A2C" w:rsidR="00F12408" w:rsidRPr="00F12408" w:rsidRDefault="00180257" w:rsidP="0041215C">
            <w:pPr>
              <w:jc w:val="center"/>
            </w:pPr>
            <w:r w:rsidRPr="00F12408">
              <w:t>Allegany</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6113EDF4" w14:textId="5CD4BF4E" w:rsidR="00F12408" w:rsidRPr="00F12408" w:rsidRDefault="00F12408" w:rsidP="0041215C">
            <w:pPr>
              <w:jc w:val="center"/>
            </w:pPr>
            <w:r w:rsidRPr="00F12408">
              <w:t>$10,873,117</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549CA14D" w14:textId="68BC048D" w:rsidR="00F12408" w:rsidRPr="00F12408" w:rsidRDefault="00F12408" w:rsidP="0041215C">
            <w:pPr>
              <w:jc w:val="center"/>
            </w:pPr>
            <w:r w:rsidRPr="00F12408">
              <w:t>5,009</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17E4E3E3" w14:textId="100780AC" w:rsidR="00F12408" w:rsidRPr="00F12408" w:rsidRDefault="00F12408" w:rsidP="0041215C">
            <w:pPr>
              <w:jc w:val="center"/>
            </w:pPr>
            <w:r w:rsidRPr="00F12408">
              <w:t>$364,455</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430737EF" w14:textId="77777777" w:rsidR="00F12408" w:rsidRPr="00F12408" w:rsidRDefault="00F12408" w:rsidP="0041215C">
            <w:pPr>
              <w:jc w:val="center"/>
            </w:pPr>
            <w:r w:rsidRPr="00F12408">
              <w:t>0.1%</w:t>
            </w:r>
          </w:p>
        </w:tc>
      </w:tr>
      <w:tr w:rsidR="00F12408" w:rsidRPr="00F12408" w14:paraId="51DC74F2"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FF0F7FA" w14:textId="6B02AD12" w:rsidR="00F12408" w:rsidRPr="00F12408" w:rsidRDefault="00180257" w:rsidP="0041215C">
            <w:pPr>
              <w:jc w:val="center"/>
            </w:pPr>
            <w:r w:rsidRPr="00F12408">
              <w:t>Broome</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6606A4" w14:textId="0AE00C19" w:rsidR="00F12408" w:rsidRPr="00F12408" w:rsidRDefault="00F12408" w:rsidP="0041215C">
            <w:pPr>
              <w:jc w:val="center"/>
            </w:pPr>
            <w:r w:rsidRPr="00F12408">
              <w:t>$59,661,187</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7198CBB" w14:textId="503CC4BE" w:rsidR="00F12408" w:rsidRPr="00F12408" w:rsidRDefault="00F12408" w:rsidP="0041215C">
            <w:pPr>
              <w:jc w:val="center"/>
            </w:pPr>
            <w:r w:rsidRPr="00F12408">
              <w:t>25,407</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A38C2E4" w14:textId="46548690" w:rsidR="00F12408" w:rsidRPr="00F12408" w:rsidRDefault="00F12408" w:rsidP="0041215C">
            <w:pPr>
              <w:jc w:val="center"/>
            </w:pPr>
            <w:r w:rsidRPr="00F12408">
              <w:t>$806,649</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E998051" w14:textId="77777777" w:rsidR="00F12408" w:rsidRPr="00F12408" w:rsidRDefault="00F12408" w:rsidP="0041215C">
            <w:pPr>
              <w:jc w:val="center"/>
            </w:pPr>
            <w:r w:rsidRPr="00F12408">
              <w:t>0.8%</w:t>
            </w:r>
          </w:p>
        </w:tc>
      </w:tr>
      <w:tr w:rsidR="00F12408" w:rsidRPr="00F12408" w14:paraId="367732D1"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117F59BC" w14:textId="51675FE2" w:rsidR="00F12408" w:rsidRPr="00F12408" w:rsidRDefault="00180257" w:rsidP="0041215C">
            <w:pPr>
              <w:jc w:val="center"/>
            </w:pPr>
            <w:r w:rsidRPr="00F12408">
              <w:t>Cattaraugus</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5DA23166" w14:textId="33BB1E7A" w:rsidR="00F12408" w:rsidRPr="00F12408" w:rsidRDefault="00F12408" w:rsidP="0041215C">
            <w:pPr>
              <w:jc w:val="center"/>
            </w:pPr>
            <w:r w:rsidRPr="00F12408">
              <w:t>$21,982,900</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324E076C" w14:textId="2C8CF1D5" w:rsidR="00F12408" w:rsidRPr="00F12408" w:rsidRDefault="00F12408" w:rsidP="0041215C">
            <w:pPr>
              <w:jc w:val="center"/>
            </w:pPr>
            <w:r w:rsidRPr="00F12408">
              <w:t>9,915</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67F8D40" w14:textId="3626451B" w:rsidR="00F12408" w:rsidRPr="00F12408" w:rsidRDefault="00F12408" w:rsidP="0041215C">
            <w:pPr>
              <w:jc w:val="center"/>
            </w:pPr>
            <w:r w:rsidRPr="00F12408">
              <w:t>$720,143</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165ADA59" w14:textId="77777777" w:rsidR="00F12408" w:rsidRPr="00F12408" w:rsidRDefault="00F12408" w:rsidP="0041215C">
            <w:pPr>
              <w:jc w:val="center"/>
            </w:pPr>
            <w:r w:rsidRPr="00F12408">
              <w:t>0.3%</w:t>
            </w:r>
          </w:p>
        </w:tc>
      </w:tr>
      <w:tr w:rsidR="00F12408" w:rsidRPr="00F12408" w14:paraId="32E10864"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5E55565" w14:textId="069D215B" w:rsidR="00F12408" w:rsidRPr="00F12408" w:rsidRDefault="00180257" w:rsidP="0041215C">
            <w:pPr>
              <w:jc w:val="center"/>
            </w:pPr>
            <w:r w:rsidRPr="00F12408">
              <w:t>Cayuga</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A09B286" w14:textId="7535F6A5" w:rsidR="00F12408" w:rsidRPr="00F12408" w:rsidRDefault="00F12408" w:rsidP="0041215C">
            <w:pPr>
              <w:jc w:val="center"/>
            </w:pPr>
            <w:r w:rsidRPr="00F12408">
              <w:t>$19,156,388</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1128651" w14:textId="32440FFA" w:rsidR="00F12408" w:rsidRPr="00F12408" w:rsidRDefault="00F12408" w:rsidP="0041215C">
            <w:pPr>
              <w:jc w:val="center"/>
            </w:pPr>
            <w:r w:rsidRPr="00F12408">
              <w:t>7,976</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B7776A" w14:textId="7825C35B" w:rsidR="00F12408" w:rsidRPr="00F12408" w:rsidRDefault="00F12408" w:rsidP="0041215C">
            <w:pPr>
              <w:jc w:val="center"/>
            </w:pPr>
            <w:r w:rsidRPr="00F12408">
              <w:t>$554,987</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F6CFADF" w14:textId="77777777" w:rsidR="00F12408" w:rsidRPr="00F12408" w:rsidRDefault="00F12408" w:rsidP="0041215C">
            <w:pPr>
              <w:jc w:val="center"/>
            </w:pPr>
            <w:r w:rsidRPr="00F12408">
              <w:t>0.3%</w:t>
            </w:r>
          </w:p>
        </w:tc>
      </w:tr>
      <w:tr w:rsidR="00F12408" w:rsidRPr="00F12408" w14:paraId="52FC85CC"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E0BB3D3" w14:textId="2EBF5A1B" w:rsidR="00F12408" w:rsidRPr="00F12408" w:rsidRDefault="00180257" w:rsidP="0041215C">
            <w:pPr>
              <w:jc w:val="center"/>
            </w:pPr>
            <w:r w:rsidRPr="00F12408">
              <w:t>Chautauqua</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21FE9B24" w14:textId="5BC47C95" w:rsidR="00F12408" w:rsidRPr="00F12408" w:rsidRDefault="00F12408" w:rsidP="0041215C">
            <w:pPr>
              <w:jc w:val="center"/>
            </w:pPr>
            <w:r w:rsidRPr="00F12408">
              <w:t>$52,904,202</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3F9286B9" w14:textId="1BEC4A28" w:rsidR="00F12408" w:rsidRPr="00F12408" w:rsidRDefault="00F12408" w:rsidP="0041215C">
            <w:pPr>
              <w:jc w:val="center"/>
            </w:pPr>
            <w:r w:rsidRPr="00F12408">
              <w:t>22,653</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3474E75" w14:textId="52E594D5" w:rsidR="00F12408" w:rsidRPr="00F12408" w:rsidRDefault="00F12408" w:rsidP="0041215C">
            <w:pPr>
              <w:jc w:val="center"/>
            </w:pPr>
            <w:r w:rsidRPr="00F12408">
              <w:t>$983,868</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1199C3E3" w14:textId="77777777" w:rsidR="00F12408" w:rsidRPr="00F12408" w:rsidRDefault="00F12408" w:rsidP="0041215C">
            <w:pPr>
              <w:jc w:val="center"/>
            </w:pPr>
            <w:r w:rsidRPr="00F12408">
              <w:t>0.7%</w:t>
            </w:r>
          </w:p>
        </w:tc>
      </w:tr>
      <w:tr w:rsidR="00F12408" w:rsidRPr="00F12408" w14:paraId="21F23AF0"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CA5D500" w14:textId="10613F37" w:rsidR="00F12408" w:rsidRPr="00F12408" w:rsidRDefault="00180257" w:rsidP="0041215C">
            <w:pPr>
              <w:jc w:val="center"/>
            </w:pPr>
            <w:r w:rsidRPr="00F12408">
              <w:t>Chemung</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0E93E70" w14:textId="4C8B80FA" w:rsidR="00F12408" w:rsidRPr="00F12408" w:rsidRDefault="00F12408" w:rsidP="0041215C">
            <w:pPr>
              <w:jc w:val="center"/>
            </w:pPr>
            <w:r w:rsidRPr="00F12408">
              <w:t>$33,302,535</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F0D1592" w14:textId="1EDFC93E" w:rsidR="00F12408" w:rsidRPr="00F12408" w:rsidRDefault="00F12408" w:rsidP="0041215C">
            <w:pPr>
              <w:jc w:val="center"/>
            </w:pPr>
            <w:r w:rsidRPr="00F12408">
              <w:t>13,177</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401556F" w14:textId="0A3821E0" w:rsidR="00F12408" w:rsidRPr="00F12408" w:rsidRDefault="00F12408" w:rsidP="0041215C">
            <w:pPr>
              <w:jc w:val="center"/>
            </w:pPr>
            <w:r w:rsidRPr="00F12408">
              <w:t>$780,482</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2376389" w14:textId="77777777" w:rsidR="00F12408" w:rsidRPr="00F12408" w:rsidRDefault="00F12408" w:rsidP="0041215C">
            <w:pPr>
              <w:jc w:val="center"/>
            </w:pPr>
            <w:r w:rsidRPr="00F12408">
              <w:t>0.4%</w:t>
            </w:r>
          </w:p>
        </w:tc>
      </w:tr>
      <w:tr w:rsidR="00F12408" w:rsidRPr="00F12408" w14:paraId="3A97E27D"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64CBDD8F" w14:textId="37269520" w:rsidR="00F12408" w:rsidRPr="00F12408" w:rsidRDefault="00180257" w:rsidP="0041215C">
            <w:pPr>
              <w:jc w:val="center"/>
            </w:pPr>
            <w:r w:rsidRPr="00F12408">
              <w:t>Chenango</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BFF95A8" w14:textId="26783364" w:rsidR="00F12408" w:rsidRPr="00F12408" w:rsidRDefault="00F12408" w:rsidP="0041215C">
            <w:pPr>
              <w:jc w:val="center"/>
            </w:pPr>
            <w:r w:rsidRPr="00F12408">
              <w:t>$14,108,765</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171D3EA7" w14:textId="6C5852D3" w:rsidR="00F12408" w:rsidRPr="00F12408" w:rsidRDefault="00F12408" w:rsidP="0041215C">
            <w:pPr>
              <w:jc w:val="center"/>
            </w:pPr>
            <w:r w:rsidRPr="00F12408">
              <w:t>6,281</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57F94071" w14:textId="136E5E25" w:rsidR="00F12408" w:rsidRPr="00F12408" w:rsidRDefault="00F12408" w:rsidP="0041215C">
            <w:pPr>
              <w:jc w:val="center"/>
            </w:pPr>
            <w:r w:rsidRPr="00F12408">
              <w:t>$308,368</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102A1C99" w14:textId="77777777" w:rsidR="00F12408" w:rsidRPr="00F12408" w:rsidRDefault="00F12408" w:rsidP="0041215C">
            <w:pPr>
              <w:jc w:val="center"/>
            </w:pPr>
            <w:r w:rsidRPr="00F12408">
              <w:t>0.2%</w:t>
            </w:r>
          </w:p>
        </w:tc>
      </w:tr>
      <w:tr w:rsidR="00F12408" w:rsidRPr="00F12408" w14:paraId="3C8DFAD5"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D8A522" w14:textId="0043B815" w:rsidR="00F12408" w:rsidRPr="00F12408" w:rsidRDefault="00180257" w:rsidP="0041215C">
            <w:pPr>
              <w:jc w:val="center"/>
            </w:pPr>
            <w:r w:rsidRPr="00F12408">
              <w:t>Clinton</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543ED61" w14:textId="0C1E5DBA" w:rsidR="00F12408" w:rsidRPr="00F12408" w:rsidRDefault="00F12408" w:rsidP="0041215C">
            <w:pPr>
              <w:jc w:val="center"/>
            </w:pPr>
            <w:r w:rsidRPr="00F12408">
              <w:t>$26,208,854</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9F68EF5" w14:textId="03FE6976" w:rsidR="00F12408" w:rsidRPr="00F12408" w:rsidRDefault="00F12408" w:rsidP="0041215C">
            <w:pPr>
              <w:jc w:val="center"/>
            </w:pPr>
            <w:r w:rsidRPr="00F12408">
              <w:t>11,014</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2D73C5A" w14:textId="522092E2" w:rsidR="00F12408" w:rsidRPr="00F12408" w:rsidRDefault="00F12408" w:rsidP="0041215C">
            <w:pPr>
              <w:jc w:val="center"/>
            </w:pPr>
            <w:r w:rsidRPr="00F12408">
              <w:t>$665,712</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632F92D" w14:textId="77777777" w:rsidR="00F12408" w:rsidRPr="00F12408" w:rsidRDefault="00F12408" w:rsidP="0041215C">
            <w:pPr>
              <w:jc w:val="center"/>
            </w:pPr>
            <w:r w:rsidRPr="00F12408">
              <w:t>0.3%</w:t>
            </w:r>
          </w:p>
        </w:tc>
      </w:tr>
      <w:tr w:rsidR="00F12408" w:rsidRPr="00F12408" w14:paraId="259220AB"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2DDC92CC" w14:textId="473CDCC6" w:rsidR="00F12408" w:rsidRPr="00F12408" w:rsidRDefault="00180257" w:rsidP="0041215C">
            <w:pPr>
              <w:jc w:val="center"/>
            </w:pPr>
            <w:r w:rsidRPr="00F12408">
              <w:t>Columbia</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01F878A6" w14:textId="46AFB8B9" w:rsidR="00F12408" w:rsidRPr="00F12408" w:rsidRDefault="00F12408" w:rsidP="0041215C">
            <w:pPr>
              <w:jc w:val="center"/>
            </w:pPr>
            <w:r w:rsidRPr="00F12408">
              <w:t>$11,724,584</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3439384B" w14:textId="5E4E7C21" w:rsidR="00F12408" w:rsidRPr="00F12408" w:rsidRDefault="00F12408" w:rsidP="0041215C">
            <w:pPr>
              <w:jc w:val="center"/>
            </w:pPr>
            <w:r w:rsidRPr="00F12408">
              <w:t>4,803</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123173BC" w14:textId="03FCDF8D" w:rsidR="00F12408" w:rsidRPr="00F12408" w:rsidRDefault="00F12408" w:rsidP="0041215C">
            <w:pPr>
              <w:jc w:val="center"/>
            </w:pPr>
            <w:r w:rsidRPr="00F12408">
              <w:t>$694,988</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0E31BFA7" w14:textId="77777777" w:rsidR="00F12408" w:rsidRPr="00F12408" w:rsidRDefault="00F12408" w:rsidP="0041215C">
            <w:pPr>
              <w:jc w:val="center"/>
            </w:pPr>
            <w:r w:rsidRPr="00F12408">
              <w:t>0.2%</w:t>
            </w:r>
          </w:p>
        </w:tc>
      </w:tr>
      <w:tr w:rsidR="00F12408" w:rsidRPr="00F12408" w14:paraId="3614A229"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1FC0008" w14:textId="4A6CE5CA" w:rsidR="00F12408" w:rsidRPr="00F12408" w:rsidRDefault="00180257" w:rsidP="0041215C">
            <w:pPr>
              <w:jc w:val="center"/>
            </w:pPr>
            <w:r w:rsidRPr="00F12408">
              <w:t>Cortland</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B9A30C9" w14:textId="1718C45F" w:rsidR="00F12408" w:rsidRPr="00F12408" w:rsidRDefault="00F12408" w:rsidP="0041215C">
            <w:pPr>
              <w:jc w:val="center"/>
            </w:pPr>
            <w:r w:rsidRPr="00F12408">
              <w:t>$12,528,016</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54E6EDB" w14:textId="2C322111" w:rsidR="00F12408" w:rsidRPr="00F12408" w:rsidRDefault="00F12408" w:rsidP="0041215C">
            <w:pPr>
              <w:jc w:val="center"/>
            </w:pPr>
            <w:r w:rsidRPr="00F12408">
              <w:t>5,356</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CFF8752" w14:textId="1A2B57A1" w:rsidR="00F12408" w:rsidRPr="00F12408" w:rsidRDefault="00F12408" w:rsidP="0041215C">
            <w:pPr>
              <w:jc w:val="center"/>
            </w:pPr>
            <w:r w:rsidRPr="00F12408">
              <w:t>$319,109</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1F744BB" w14:textId="77777777" w:rsidR="00F12408" w:rsidRPr="00F12408" w:rsidRDefault="00F12408" w:rsidP="0041215C">
            <w:pPr>
              <w:jc w:val="center"/>
            </w:pPr>
            <w:r w:rsidRPr="00F12408">
              <w:t>0.2%</w:t>
            </w:r>
          </w:p>
        </w:tc>
      </w:tr>
      <w:tr w:rsidR="00F12408" w:rsidRPr="00F12408" w14:paraId="51BAB738"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509DCBD8" w14:textId="11829A05" w:rsidR="00F12408" w:rsidRPr="00F12408" w:rsidRDefault="00180257" w:rsidP="0041215C">
            <w:pPr>
              <w:jc w:val="center"/>
            </w:pPr>
            <w:r w:rsidRPr="00F12408">
              <w:t>Delaware</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50A20C36" w14:textId="0BCD75C9" w:rsidR="00F12408" w:rsidRPr="00F12408" w:rsidRDefault="00F12408" w:rsidP="0041215C">
            <w:pPr>
              <w:jc w:val="center"/>
            </w:pPr>
            <w:r w:rsidRPr="00F12408">
              <w:t>$9,820,610</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3BB5F49" w14:textId="642C5FA2" w:rsidR="00F12408" w:rsidRPr="00F12408" w:rsidRDefault="00F12408" w:rsidP="0041215C">
            <w:pPr>
              <w:jc w:val="center"/>
            </w:pPr>
            <w:r w:rsidRPr="00F12408">
              <w:t>4,439</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6437465" w14:textId="155DABDC" w:rsidR="00F12408" w:rsidRPr="00F12408" w:rsidRDefault="00F12408" w:rsidP="0041215C">
            <w:pPr>
              <w:jc w:val="center"/>
            </w:pPr>
            <w:r w:rsidRPr="00F12408">
              <w:t>$292,380</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14D530B8" w14:textId="77777777" w:rsidR="00F12408" w:rsidRPr="00F12408" w:rsidRDefault="00F12408" w:rsidP="0041215C">
            <w:pPr>
              <w:jc w:val="center"/>
            </w:pPr>
            <w:r w:rsidRPr="00F12408">
              <w:t>0.1%</w:t>
            </w:r>
          </w:p>
        </w:tc>
      </w:tr>
      <w:tr w:rsidR="00F12408" w:rsidRPr="00F12408" w14:paraId="6F35749D"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313B7EA" w14:textId="7DC2D181" w:rsidR="00F12408" w:rsidRPr="00F12408" w:rsidRDefault="00180257" w:rsidP="0041215C">
            <w:pPr>
              <w:jc w:val="center"/>
            </w:pPr>
            <w:r w:rsidRPr="00F12408">
              <w:t>Dutchess</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68333F2" w14:textId="4596E0E0" w:rsidR="00F12408" w:rsidRPr="00F12408" w:rsidRDefault="00F12408" w:rsidP="0041215C">
            <w:pPr>
              <w:jc w:val="center"/>
            </w:pPr>
            <w:r w:rsidRPr="00F12408">
              <w:t>$39,970,306</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26C9DA4" w14:textId="483DD5EE" w:rsidR="00F12408" w:rsidRPr="00F12408" w:rsidRDefault="00F12408" w:rsidP="0041215C">
            <w:pPr>
              <w:jc w:val="center"/>
            </w:pPr>
            <w:r w:rsidRPr="00F12408">
              <w:t>16,507</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BE85512" w14:textId="0744DC2A" w:rsidR="00F12408" w:rsidRPr="00F12408" w:rsidRDefault="00F12408" w:rsidP="0041215C">
            <w:pPr>
              <w:jc w:val="center"/>
            </w:pPr>
            <w:r w:rsidRPr="00F12408">
              <w:t>$1,509,750</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B149218" w14:textId="77777777" w:rsidR="00F12408" w:rsidRPr="00F12408" w:rsidRDefault="00F12408" w:rsidP="0041215C">
            <w:pPr>
              <w:jc w:val="center"/>
            </w:pPr>
            <w:r w:rsidRPr="00F12408">
              <w:t>0.5%</w:t>
            </w:r>
          </w:p>
        </w:tc>
      </w:tr>
      <w:tr w:rsidR="00F12408" w:rsidRPr="00F12408" w14:paraId="3440221E"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0C79954" w14:textId="415F3290" w:rsidR="00F12408" w:rsidRPr="00F12408" w:rsidRDefault="00180257" w:rsidP="0041215C">
            <w:pPr>
              <w:jc w:val="center"/>
            </w:pPr>
            <w:r w:rsidRPr="00F12408">
              <w:t>Erie</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345213BE" w14:textId="77BEDC6B" w:rsidR="00F12408" w:rsidRPr="00F12408" w:rsidRDefault="00F12408" w:rsidP="0041215C">
            <w:pPr>
              <w:jc w:val="center"/>
            </w:pPr>
            <w:r w:rsidRPr="00F12408">
              <w:t>$331,965,951</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4BCC2CF9" w14:textId="701AF8AB" w:rsidR="00F12408" w:rsidRPr="00F12408" w:rsidRDefault="00F12408" w:rsidP="0041215C">
            <w:pPr>
              <w:jc w:val="center"/>
            </w:pPr>
            <w:r w:rsidRPr="00F12408">
              <w:t>132,985</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2E63B33" w14:textId="55C2A571" w:rsidR="00F12408" w:rsidRPr="00F12408" w:rsidRDefault="00F12408" w:rsidP="0041215C">
            <w:pPr>
              <w:jc w:val="center"/>
            </w:pPr>
            <w:r w:rsidRPr="00F12408">
              <w:t>$6,384,494</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0579FF34" w14:textId="77777777" w:rsidR="00F12408" w:rsidRPr="00F12408" w:rsidRDefault="00F12408" w:rsidP="0041215C">
            <w:pPr>
              <w:jc w:val="center"/>
            </w:pPr>
            <w:r w:rsidRPr="00F12408">
              <w:t>4.4%</w:t>
            </w:r>
          </w:p>
        </w:tc>
      </w:tr>
      <w:tr w:rsidR="00F12408" w:rsidRPr="00F12408" w14:paraId="6DDB0BD7"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B69A388" w14:textId="7E48AE0D" w:rsidR="00F12408" w:rsidRPr="00F12408" w:rsidRDefault="00180257" w:rsidP="0041215C">
            <w:pPr>
              <w:jc w:val="center"/>
            </w:pPr>
            <w:r w:rsidRPr="00F12408">
              <w:t>Essex</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B34896" w14:textId="2751BA7E" w:rsidR="00F12408" w:rsidRPr="00F12408" w:rsidRDefault="00F12408" w:rsidP="0041215C">
            <w:pPr>
              <w:jc w:val="center"/>
            </w:pPr>
            <w:r w:rsidRPr="00F12408">
              <w:t>$6,295,038</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EF47476" w14:textId="056C3078" w:rsidR="00F12408" w:rsidRPr="00F12408" w:rsidRDefault="00F12408" w:rsidP="0041215C">
            <w:pPr>
              <w:jc w:val="center"/>
            </w:pPr>
            <w:r w:rsidRPr="00F12408">
              <w:t>2,828</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324C822" w14:textId="228C2404" w:rsidR="00F12408" w:rsidRPr="00F12408" w:rsidRDefault="00F12408" w:rsidP="0041215C">
            <w:pPr>
              <w:jc w:val="center"/>
            </w:pPr>
            <w:r w:rsidRPr="00F12408">
              <w:t>$203,853</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51E7E2B" w14:textId="77777777" w:rsidR="00F12408" w:rsidRPr="00F12408" w:rsidRDefault="00F12408" w:rsidP="0041215C">
            <w:pPr>
              <w:jc w:val="center"/>
            </w:pPr>
            <w:r w:rsidRPr="00F12408">
              <w:t>0.1%</w:t>
            </w:r>
          </w:p>
        </w:tc>
      </w:tr>
      <w:tr w:rsidR="00F12408" w:rsidRPr="00F12408" w14:paraId="4F853C33"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07622E3F" w14:textId="46817B55" w:rsidR="00F12408" w:rsidRPr="00F12408" w:rsidRDefault="00180257" w:rsidP="0041215C">
            <w:pPr>
              <w:jc w:val="center"/>
            </w:pPr>
            <w:r w:rsidRPr="00F12408">
              <w:t>Franklin</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5C94D32B" w14:textId="754E7EAC" w:rsidR="00F12408" w:rsidRPr="00F12408" w:rsidRDefault="00F12408" w:rsidP="0041215C">
            <w:pPr>
              <w:jc w:val="center"/>
            </w:pPr>
            <w:r w:rsidRPr="00F12408">
              <w:t>$14,906,936</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5475FFDF" w14:textId="5F5E88CA" w:rsidR="00F12408" w:rsidRPr="00F12408" w:rsidRDefault="00F12408" w:rsidP="0041215C">
            <w:pPr>
              <w:jc w:val="center"/>
            </w:pPr>
            <w:r w:rsidRPr="00F12408">
              <w:t>6,389</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4DE5F364" w14:textId="48B29469" w:rsidR="00F12408" w:rsidRPr="00F12408" w:rsidRDefault="00F12408" w:rsidP="0041215C">
            <w:pPr>
              <w:jc w:val="center"/>
            </w:pPr>
            <w:r w:rsidRPr="00F12408">
              <w:t>$496,021</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09B713F4" w14:textId="77777777" w:rsidR="00F12408" w:rsidRPr="00F12408" w:rsidRDefault="00F12408" w:rsidP="0041215C">
            <w:pPr>
              <w:jc w:val="center"/>
            </w:pPr>
            <w:r w:rsidRPr="00F12408">
              <w:t>0.2%</w:t>
            </w:r>
          </w:p>
        </w:tc>
      </w:tr>
      <w:tr w:rsidR="00F12408" w:rsidRPr="00F12408" w14:paraId="0FEDC165"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5635215" w14:textId="763F2BE3" w:rsidR="00F12408" w:rsidRPr="00F12408" w:rsidRDefault="00180257" w:rsidP="0041215C">
            <w:pPr>
              <w:jc w:val="center"/>
            </w:pPr>
            <w:r w:rsidRPr="00F12408">
              <w:t>Fulton</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E50DC81" w14:textId="05F4509F" w:rsidR="00F12408" w:rsidRPr="00F12408" w:rsidRDefault="00F12408" w:rsidP="0041215C">
            <w:pPr>
              <w:jc w:val="center"/>
            </w:pPr>
            <w:r w:rsidRPr="00F12408">
              <w:t>$17,904,645</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F27F16B" w14:textId="08C59A63" w:rsidR="00F12408" w:rsidRPr="00F12408" w:rsidRDefault="00F12408" w:rsidP="0041215C">
            <w:pPr>
              <w:jc w:val="center"/>
            </w:pPr>
            <w:r w:rsidRPr="00F12408">
              <w:t>7,578</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656452" w14:textId="1FC08B67" w:rsidR="00F12408" w:rsidRPr="00F12408" w:rsidRDefault="00F12408" w:rsidP="0041215C">
            <w:pPr>
              <w:jc w:val="center"/>
            </w:pPr>
            <w:r w:rsidRPr="00F12408">
              <w:t>$437,949</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EC67E73" w14:textId="77777777" w:rsidR="00F12408" w:rsidRPr="00F12408" w:rsidRDefault="00F12408" w:rsidP="0041215C">
            <w:pPr>
              <w:jc w:val="center"/>
            </w:pPr>
            <w:r w:rsidRPr="00F12408">
              <w:t>0.2%</w:t>
            </w:r>
          </w:p>
        </w:tc>
      </w:tr>
      <w:tr w:rsidR="00F12408" w:rsidRPr="00F12408" w14:paraId="3735249E"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2F20FB56" w14:textId="02B80511" w:rsidR="00F12408" w:rsidRPr="00F12408" w:rsidRDefault="00180257" w:rsidP="0041215C">
            <w:pPr>
              <w:jc w:val="center"/>
            </w:pPr>
            <w:r w:rsidRPr="00F12408">
              <w:t>Genesee</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1F56DC33" w14:textId="38B0B42D" w:rsidR="00F12408" w:rsidRPr="00F12408" w:rsidRDefault="00F12408" w:rsidP="0041215C">
            <w:pPr>
              <w:jc w:val="center"/>
            </w:pPr>
            <w:r w:rsidRPr="00F12408">
              <w:t>$9,852,766</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624A4EB7" w14:textId="6DFD004E" w:rsidR="00F12408" w:rsidRPr="00F12408" w:rsidRDefault="00F12408" w:rsidP="0041215C">
            <w:pPr>
              <w:jc w:val="center"/>
            </w:pPr>
            <w:r w:rsidRPr="00F12408">
              <w:t>4,382</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57BAB98A" w14:textId="1E01A800" w:rsidR="00F12408" w:rsidRPr="00F12408" w:rsidRDefault="00F12408" w:rsidP="0041215C">
            <w:pPr>
              <w:jc w:val="center"/>
            </w:pPr>
            <w:r w:rsidRPr="00F12408">
              <w:t>$380,348</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316CD506" w14:textId="77777777" w:rsidR="00F12408" w:rsidRPr="00F12408" w:rsidRDefault="00F12408" w:rsidP="0041215C">
            <w:pPr>
              <w:jc w:val="center"/>
            </w:pPr>
            <w:r w:rsidRPr="00F12408">
              <w:t>0.1%</w:t>
            </w:r>
          </w:p>
        </w:tc>
      </w:tr>
      <w:tr w:rsidR="00F12408" w:rsidRPr="00F12408" w14:paraId="72573917"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CCA8849" w14:textId="69DB0380" w:rsidR="00F12408" w:rsidRPr="00F12408" w:rsidRDefault="00180257" w:rsidP="0041215C">
            <w:pPr>
              <w:jc w:val="center"/>
            </w:pPr>
            <w:r w:rsidRPr="00F12408">
              <w:t>Greene</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0DB058D" w14:textId="4096BE9F" w:rsidR="00F12408" w:rsidRPr="00F12408" w:rsidRDefault="00F12408" w:rsidP="0041215C">
            <w:pPr>
              <w:jc w:val="center"/>
            </w:pPr>
            <w:r w:rsidRPr="00F12408">
              <w:t>$9,121,184</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D70D26D" w14:textId="721BC38F" w:rsidR="00F12408" w:rsidRPr="00F12408" w:rsidRDefault="00F12408" w:rsidP="0041215C">
            <w:pPr>
              <w:jc w:val="center"/>
            </w:pPr>
            <w:r w:rsidRPr="00F12408">
              <w:t>3,706</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C45A87D" w14:textId="2E2A3112" w:rsidR="00F12408" w:rsidRPr="00F12408" w:rsidRDefault="00F12408" w:rsidP="0041215C">
            <w:pPr>
              <w:jc w:val="center"/>
            </w:pPr>
            <w:r w:rsidRPr="00F12408">
              <w:t>$243,582</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75DBE38" w14:textId="77777777" w:rsidR="00F12408" w:rsidRPr="00F12408" w:rsidRDefault="00F12408" w:rsidP="0041215C">
            <w:pPr>
              <w:jc w:val="center"/>
            </w:pPr>
            <w:r w:rsidRPr="00F12408">
              <w:t>0.1%</w:t>
            </w:r>
          </w:p>
        </w:tc>
      </w:tr>
      <w:tr w:rsidR="00F12408" w:rsidRPr="00F12408" w14:paraId="036C78B8"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173623E4" w14:textId="42F0B494" w:rsidR="00F12408" w:rsidRPr="00F12408" w:rsidRDefault="00180257" w:rsidP="0041215C">
            <w:pPr>
              <w:jc w:val="center"/>
            </w:pPr>
            <w:r w:rsidRPr="00F12408">
              <w:t>Hamilton</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130B911C" w14:textId="23A95D93" w:rsidR="00F12408" w:rsidRPr="00F12408" w:rsidRDefault="00F12408" w:rsidP="0041215C">
            <w:pPr>
              <w:jc w:val="center"/>
            </w:pPr>
            <w:r w:rsidRPr="00F12408">
              <w:t>$710,420</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3DCAAA40" w14:textId="3377A8AB" w:rsidR="00F12408" w:rsidRPr="00F12408" w:rsidRDefault="00F12408" w:rsidP="0041215C">
            <w:pPr>
              <w:jc w:val="center"/>
            </w:pPr>
            <w:r w:rsidRPr="00F12408">
              <w:t>328</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22F2333E" w14:textId="108E80EA" w:rsidR="00F12408" w:rsidRPr="00F12408" w:rsidRDefault="00F12408" w:rsidP="0041215C">
            <w:pPr>
              <w:jc w:val="center"/>
            </w:pPr>
            <w:r w:rsidRPr="00F12408">
              <w:t>$27,292</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40A48AC5" w14:textId="77777777" w:rsidR="00F12408" w:rsidRPr="00F12408" w:rsidRDefault="00F12408" w:rsidP="0041215C">
            <w:pPr>
              <w:jc w:val="center"/>
            </w:pPr>
            <w:r w:rsidRPr="00F12408">
              <w:t>0.0%</w:t>
            </w:r>
          </w:p>
        </w:tc>
      </w:tr>
      <w:tr w:rsidR="00F12408" w:rsidRPr="00F12408" w14:paraId="037D69B1"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35FD374" w14:textId="39644F82" w:rsidR="00F12408" w:rsidRPr="00F12408" w:rsidRDefault="00180257" w:rsidP="0041215C">
            <w:pPr>
              <w:jc w:val="center"/>
            </w:pPr>
            <w:r w:rsidRPr="00F12408">
              <w:lastRenderedPageBreak/>
              <w:t>Herkimer</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3FF437" w14:textId="45F44DD9" w:rsidR="00F12408" w:rsidRPr="00F12408" w:rsidRDefault="00F12408" w:rsidP="0041215C">
            <w:pPr>
              <w:jc w:val="center"/>
            </w:pPr>
            <w:r w:rsidRPr="00F12408">
              <w:t>$19,475,284</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688AB30" w14:textId="485B6A8E" w:rsidR="00F12408" w:rsidRPr="00F12408" w:rsidRDefault="00F12408" w:rsidP="0041215C">
            <w:pPr>
              <w:jc w:val="center"/>
            </w:pPr>
            <w:r w:rsidRPr="00F12408">
              <w:t>8,434</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41C15AC" w14:textId="76139290" w:rsidR="00F12408" w:rsidRPr="00F12408" w:rsidRDefault="00F12408" w:rsidP="0041215C">
            <w:pPr>
              <w:jc w:val="center"/>
            </w:pPr>
            <w:r w:rsidRPr="00F12408">
              <w:t>$327,736</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4783B08" w14:textId="77777777" w:rsidR="00F12408" w:rsidRPr="00F12408" w:rsidRDefault="00F12408" w:rsidP="0041215C">
            <w:pPr>
              <w:jc w:val="center"/>
            </w:pPr>
            <w:r w:rsidRPr="00F12408">
              <w:t>0.3%</w:t>
            </w:r>
          </w:p>
        </w:tc>
      </w:tr>
      <w:tr w:rsidR="00F12408" w:rsidRPr="00F12408" w14:paraId="0597D2B8"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D4C5F39" w14:textId="500E7688" w:rsidR="00F12408" w:rsidRPr="00F12408" w:rsidRDefault="00180257" w:rsidP="0041215C">
            <w:pPr>
              <w:jc w:val="center"/>
            </w:pPr>
            <w:r w:rsidRPr="00F12408">
              <w:t>Jefferson</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5EE0930" w14:textId="67EA9B5E" w:rsidR="00F12408" w:rsidRPr="00F12408" w:rsidRDefault="00F12408" w:rsidP="0041215C">
            <w:pPr>
              <w:jc w:val="center"/>
            </w:pPr>
            <w:r w:rsidRPr="00F12408">
              <w:t>$32,001,295</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47E35D77" w14:textId="2E574522" w:rsidR="00F12408" w:rsidRPr="00F12408" w:rsidRDefault="00F12408" w:rsidP="0041215C">
            <w:pPr>
              <w:jc w:val="center"/>
            </w:pPr>
            <w:r w:rsidRPr="00F12408">
              <w:t>13,184</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8856EC6" w14:textId="6503F6FA" w:rsidR="00F12408" w:rsidRPr="00F12408" w:rsidRDefault="00F12408" w:rsidP="0041215C">
            <w:pPr>
              <w:jc w:val="center"/>
            </w:pPr>
            <w:r w:rsidRPr="00F12408">
              <w:t>$1,052,497</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31F7AC40" w14:textId="77777777" w:rsidR="00F12408" w:rsidRPr="00F12408" w:rsidRDefault="00F12408" w:rsidP="0041215C">
            <w:pPr>
              <w:jc w:val="center"/>
            </w:pPr>
            <w:r w:rsidRPr="00F12408">
              <w:t>0.4%</w:t>
            </w:r>
          </w:p>
        </w:tc>
      </w:tr>
      <w:tr w:rsidR="00F12408" w:rsidRPr="00F12408" w14:paraId="6CB6A91F"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C7B8A8D" w14:textId="768041C6" w:rsidR="00F12408" w:rsidRPr="00F12408" w:rsidRDefault="00180257" w:rsidP="0041215C">
            <w:pPr>
              <w:jc w:val="center"/>
            </w:pPr>
            <w:r w:rsidRPr="00F12408">
              <w:t>Lewis</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A7F156C" w14:textId="6426B58D" w:rsidR="00F12408" w:rsidRPr="00F12408" w:rsidRDefault="00F12408" w:rsidP="0041215C">
            <w:pPr>
              <w:jc w:val="center"/>
            </w:pPr>
            <w:r w:rsidRPr="00F12408">
              <w:t>$5,747,687</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8658DAE" w14:textId="3C0FCF2B" w:rsidR="00F12408" w:rsidRPr="00F12408" w:rsidRDefault="00F12408" w:rsidP="0041215C">
            <w:pPr>
              <w:jc w:val="center"/>
            </w:pPr>
            <w:r w:rsidRPr="00F12408">
              <w:t>2,584</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AF8FD98" w14:textId="458B8282" w:rsidR="00F12408" w:rsidRPr="00F12408" w:rsidRDefault="00F12408" w:rsidP="0041215C">
            <w:pPr>
              <w:jc w:val="center"/>
            </w:pPr>
            <w:r w:rsidRPr="00F12408">
              <w:t>$307,450</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D25583C" w14:textId="77777777" w:rsidR="00F12408" w:rsidRPr="00F12408" w:rsidRDefault="00F12408" w:rsidP="0041215C">
            <w:pPr>
              <w:jc w:val="center"/>
            </w:pPr>
            <w:r w:rsidRPr="00F12408">
              <w:t>0.1%</w:t>
            </w:r>
          </w:p>
        </w:tc>
      </w:tr>
      <w:tr w:rsidR="00F12408" w:rsidRPr="00F12408" w14:paraId="7669CFA4"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3682F45C" w14:textId="05C531F7" w:rsidR="00F12408" w:rsidRPr="00F12408" w:rsidRDefault="00180257" w:rsidP="0041215C">
            <w:pPr>
              <w:jc w:val="center"/>
            </w:pPr>
            <w:r w:rsidRPr="00F12408">
              <w:t>Livingston</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58E54F0D" w14:textId="141A7F8F" w:rsidR="00F12408" w:rsidRPr="00F12408" w:rsidRDefault="00F12408" w:rsidP="0041215C">
            <w:pPr>
              <w:jc w:val="center"/>
            </w:pPr>
            <w:r w:rsidRPr="00F12408">
              <w:t>$11,595,947</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016998F" w14:textId="579C4B9E" w:rsidR="00F12408" w:rsidRPr="00F12408" w:rsidRDefault="00F12408" w:rsidP="0041215C">
            <w:pPr>
              <w:jc w:val="center"/>
            </w:pPr>
            <w:r w:rsidRPr="00F12408">
              <w:t>4,824</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2E0DFC1C" w14:textId="220DCEDB" w:rsidR="00F12408" w:rsidRPr="00F12408" w:rsidRDefault="00F12408" w:rsidP="0041215C">
            <w:pPr>
              <w:jc w:val="center"/>
            </w:pPr>
            <w:r w:rsidRPr="00F12408">
              <w:t>$362,665</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698D8D12" w14:textId="77777777" w:rsidR="00F12408" w:rsidRPr="00F12408" w:rsidRDefault="00F12408" w:rsidP="0041215C">
            <w:pPr>
              <w:jc w:val="center"/>
            </w:pPr>
            <w:r w:rsidRPr="00F12408">
              <w:t>0.2%</w:t>
            </w:r>
          </w:p>
        </w:tc>
      </w:tr>
      <w:tr w:rsidR="00F12408" w:rsidRPr="00F12408" w14:paraId="68A6CB3F"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44FBA31" w14:textId="0ABBC681" w:rsidR="00F12408" w:rsidRPr="00F12408" w:rsidRDefault="00180257" w:rsidP="0041215C">
            <w:pPr>
              <w:jc w:val="center"/>
            </w:pPr>
            <w:r w:rsidRPr="00F12408">
              <w:t>Madison</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1A6CE22" w14:textId="06C574F7" w:rsidR="00F12408" w:rsidRPr="00F12408" w:rsidRDefault="00F12408" w:rsidP="0041215C">
            <w:pPr>
              <w:jc w:val="center"/>
            </w:pPr>
            <w:r w:rsidRPr="00F12408">
              <w:t>$13,514,277</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73EAA25" w14:textId="6024CD31" w:rsidR="00F12408" w:rsidRPr="00F12408" w:rsidRDefault="00F12408" w:rsidP="0041215C">
            <w:pPr>
              <w:jc w:val="center"/>
            </w:pPr>
            <w:r w:rsidRPr="00F12408">
              <w:t>5,838</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122555" w14:textId="7EE0CA1B" w:rsidR="00F12408" w:rsidRPr="00F12408" w:rsidRDefault="00F12408" w:rsidP="0041215C">
            <w:pPr>
              <w:jc w:val="center"/>
            </w:pPr>
            <w:r w:rsidRPr="00F12408">
              <w:t>$353,870</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52F0A31" w14:textId="77777777" w:rsidR="00F12408" w:rsidRPr="00F12408" w:rsidRDefault="00F12408" w:rsidP="0041215C">
            <w:pPr>
              <w:jc w:val="center"/>
            </w:pPr>
            <w:r w:rsidRPr="00F12408">
              <w:t>0.2%</w:t>
            </w:r>
          </w:p>
        </w:tc>
      </w:tr>
      <w:tr w:rsidR="00F12408" w:rsidRPr="00F12408" w14:paraId="3B32E21D"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61D01ABC" w14:textId="0188E243" w:rsidR="00F12408" w:rsidRPr="00F12408" w:rsidRDefault="00180257" w:rsidP="0041215C">
            <w:pPr>
              <w:jc w:val="center"/>
            </w:pPr>
            <w:r w:rsidRPr="00F12408">
              <w:t>Monroe</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079E78E4" w14:textId="10B670F0" w:rsidR="00F12408" w:rsidRPr="00F12408" w:rsidRDefault="00F12408" w:rsidP="0041215C">
            <w:pPr>
              <w:jc w:val="center"/>
            </w:pPr>
            <w:r w:rsidRPr="00F12408">
              <w:t>$262,789,720</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65906717" w14:textId="421755DE" w:rsidR="00F12408" w:rsidRPr="00F12408" w:rsidRDefault="00F12408" w:rsidP="0041215C">
            <w:pPr>
              <w:jc w:val="center"/>
            </w:pPr>
            <w:r w:rsidRPr="00F12408">
              <w:t>99,149</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6FCFDA42" w14:textId="144605B6" w:rsidR="00F12408" w:rsidRPr="00F12408" w:rsidRDefault="00F12408" w:rsidP="0041215C">
            <w:pPr>
              <w:jc w:val="center"/>
            </w:pPr>
            <w:r w:rsidRPr="00F12408">
              <w:t>$3,013,240</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13F50E50" w14:textId="77777777" w:rsidR="00F12408" w:rsidRPr="00F12408" w:rsidRDefault="00F12408" w:rsidP="0041215C">
            <w:pPr>
              <w:jc w:val="center"/>
            </w:pPr>
            <w:r w:rsidRPr="00F12408">
              <w:t>3.4%</w:t>
            </w:r>
          </w:p>
        </w:tc>
      </w:tr>
      <w:tr w:rsidR="00F12408" w:rsidRPr="00F12408" w14:paraId="409EDBA4"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193E37" w14:textId="330CC765" w:rsidR="00F12408" w:rsidRPr="00F12408" w:rsidRDefault="00180257" w:rsidP="0041215C">
            <w:pPr>
              <w:jc w:val="center"/>
            </w:pPr>
            <w:r w:rsidRPr="00F12408">
              <w:t>Montgomery</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57488FE" w14:textId="5D55C559" w:rsidR="00F12408" w:rsidRPr="00F12408" w:rsidRDefault="00F12408" w:rsidP="0041215C">
            <w:pPr>
              <w:jc w:val="center"/>
            </w:pPr>
            <w:r w:rsidRPr="00F12408">
              <w:t>$18,527,656</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2B836EB" w14:textId="3E80C3F2" w:rsidR="00F12408" w:rsidRPr="00F12408" w:rsidRDefault="00F12408" w:rsidP="0041215C">
            <w:pPr>
              <w:jc w:val="center"/>
            </w:pPr>
            <w:r w:rsidRPr="00F12408">
              <w:t>7,787</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01F8326" w14:textId="6CE9E1DE" w:rsidR="00F12408" w:rsidRPr="00F12408" w:rsidRDefault="00F12408" w:rsidP="0041215C">
            <w:pPr>
              <w:jc w:val="center"/>
            </w:pPr>
            <w:r w:rsidRPr="00F12408">
              <w:t>$385,699</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3F74857" w14:textId="77777777" w:rsidR="00F12408" w:rsidRPr="00F12408" w:rsidRDefault="00F12408" w:rsidP="0041215C">
            <w:pPr>
              <w:jc w:val="center"/>
            </w:pPr>
            <w:r w:rsidRPr="00F12408">
              <w:t>0.2%</w:t>
            </w:r>
          </w:p>
        </w:tc>
      </w:tr>
      <w:tr w:rsidR="00F12408" w:rsidRPr="00F12408" w14:paraId="1DB7B79E"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295CF899" w14:textId="165118FB" w:rsidR="00F12408" w:rsidRPr="00F12408" w:rsidRDefault="00180257" w:rsidP="0041215C">
            <w:pPr>
              <w:jc w:val="center"/>
            </w:pPr>
            <w:r w:rsidRPr="00F12408">
              <w:t>Nassau</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6EB9CD23" w14:textId="638B0260" w:rsidR="00F12408" w:rsidRPr="00F12408" w:rsidRDefault="00F12408" w:rsidP="0041215C">
            <w:pPr>
              <w:jc w:val="center"/>
            </w:pPr>
            <w:r w:rsidRPr="00F12408">
              <w:t>$102,088,185</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68FFA376" w14:textId="66E6F91C" w:rsidR="00F12408" w:rsidRPr="00F12408" w:rsidRDefault="00F12408" w:rsidP="0041215C">
            <w:pPr>
              <w:jc w:val="center"/>
            </w:pPr>
            <w:r w:rsidRPr="00F12408">
              <w:t>40,894</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322EC780" w14:textId="45EF9804" w:rsidR="00F12408" w:rsidRPr="00F12408" w:rsidRDefault="00F12408" w:rsidP="0041215C">
            <w:pPr>
              <w:jc w:val="center"/>
            </w:pPr>
            <w:r w:rsidRPr="00F12408">
              <w:t>$4,133,625</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47A846FA" w14:textId="77777777" w:rsidR="00F12408" w:rsidRPr="00F12408" w:rsidRDefault="00F12408" w:rsidP="0041215C">
            <w:pPr>
              <w:jc w:val="center"/>
            </w:pPr>
            <w:r w:rsidRPr="00F12408">
              <w:t>1.3%</w:t>
            </w:r>
          </w:p>
        </w:tc>
      </w:tr>
      <w:tr w:rsidR="00F12408" w:rsidRPr="00F12408" w14:paraId="65DC683B" w14:textId="77777777" w:rsidTr="0041215C">
        <w:trPr>
          <w:trHeight w:val="345"/>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C0BF739" w14:textId="4299B715" w:rsidR="00F12408" w:rsidRPr="00F12408" w:rsidRDefault="00180257" w:rsidP="0041215C">
            <w:pPr>
              <w:jc w:val="center"/>
            </w:pPr>
            <w:r w:rsidRPr="00F12408">
              <w:t>Niagara</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21822D7" w14:textId="13A79A10" w:rsidR="00F12408" w:rsidRPr="00F12408" w:rsidRDefault="00F12408" w:rsidP="0041215C">
            <w:pPr>
              <w:jc w:val="center"/>
            </w:pPr>
            <w:r w:rsidRPr="00F12408">
              <w:t>$61,135,075</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2FD89D7" w14:textId="1FCE0BAA" w:rsidR="00F12408" w:rsidRPr="00F12408" w:rsidRDefault="00F12408" w:rsidP="0041215C">
            <w:pPr>
              <w:jc w:val="center"/>
            </w:pPr>
            <w:r w:rsidRPr="00F12408">
              <w:t>25,656</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9DE0FC" w14:textId="3EA246E9" w:rsidR="00F12408" w:rsidRPr="00F12408" w:rsidRDefault="00F12408" w:rsidP="0041215C">
            <w:pPr>
              <w:jc w:val="center"/>
            </w:pPr>
            <w:r w:rsidRPr="00F12408">
              <w:t>$1,555,489</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ACD0242" w14:textId="77777777" w:rsidR="00F12408" w:rsidRPr="00F12408" w:rsidRDefault="00F12408" w:rsidP="0041215C">
            <w:pPr>
              <w:jc w:val="center"/>
            </w:pPr>
            <w:r w:rsidRPr="00F12408">
              <w:t>0.8%</w:t>
            </w:r>
          </w:p>
        </w:tc>
      </w:tr>
      <w:tr w:rsidR="00F12408" w:rsidRPr="00F12408" w14:paraId="0A704B67"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5397797F" w14:textId="1E01B160" w:rsidR="00F12408" w:rsidRPr="00F12408" w:rsidRDefault="00180257" w:rsidP="0041215C">
            <w:pPr>
              <w:jc w:val="center"/>
            </w:pPr>
            <w:r w:rsidRPr="00F12408">
              <w:t>New York City</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51CE3B6" w14:textId="72871D6D" w:rsidR="00F12408" w:rsidRPr="00F12408" w:rsidRDefault="00F12408" w:rsidP="0041215C">
            <w:pPr>
              <w:jc w:val="center"/>
            </w:pPr>
            <w:r w:rsidRPr="00F12408">
              <w:t>$4,947,257,707</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058B081" w14:textId="4480D50F" w:rsidR="00F12408" w:rsidRPr="00F12408" w:rsidRDefault="00F12408" w:rsidP="0041215C">
            <w:pPr>
              <w:jc w:val="center"/>
            </w:pPr>
            <w:r w:rsidRPr="00F12408">
              <w:t>1,701,491</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15783A94" w14:textId="1D7A8109" w:rsidR="00F12408" w:rsidRPr="00F12408" w:rsidRDefault="00F12408" w:rsidP="0041215C">
            <w:pPr>
              <w:jc w:val="center"/>
            </w:pPr>
            <w:r w:rsidRPr="00F12408">
              <w:t>$110,794,207</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406C0107" w14:textId="77777777" w:rsidR="00F12408" w:rsidRPr="00F12408" w:rsidRDefault="00F12408" w:rsidP="0041215C">
            <w:pPr>
              <w:jc w:val="center"/>
            </w:pPr>
            <w:r w:rsidRPr="00F12408">
              <w:t>64.9%</w:t>
            </w:r>
          </w:p>
        </w:tc>
      </w:tr>
      <w:tr w:rsidR="00F12408" w:rsidRPr="00F12408" w14:paraId="731F8D57"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1096A70" w14:textId="575E838E" w:rsidR="00F12408" w:rsidRPr="00F12408" w:rsidRDefault="00180257" w:rsidP="0041215C">
            <w:pPr>
              <w:jc w:val="center"/>
            </w:pPr>
            <w:r w:rsidRPr="00F12408">
              <w:t>Oneida</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145111F" w14:textId="7FB4EEE9" w:rsidR="00F12408" w:rsidRPr="00F12408" w:rsidRDefault="00F12408" w:rsidP="0041215C">
            <w:pPr>
              <w:jc w:val="center"/>
            </w:pPr>
            <w:r w:rsidRPr="00F12408">
              <w:t>$61,135,075</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AEA236" w14:textId="5B3E6D22" w:rsidR="00F12408" w:rsidRPr="00F12408" w:rsidRDefault="00F12408" w:rsidP="0041215C">
            <w:pPr>
              <w:jc w:val="center"/>
            </w:pPr>
            <w:r w:rsidRPr="00F12408">
              <w:t>34,055</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91C430" w14:textId="04EDA160" w:rsidR="00F12408" w:rsidRPr="00F12408" w:rsidRDefault="00F12408" w:rsidP="0041215C">
            <w:pPr>
              <w:jc w:val="center"/>
            </w:pPr>
            <w:r w:rsidRPr="00F12408">
              <w:t>$1,628,600</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A2045B8" w14:textId="77777777" w:rsidR="00F12408" w:rsidRPr="00F12408" w:rsidRDefault="00F12408" w:rsidP="0041215C">
            <w:pPr>
              <w:jc w:val="center"/>
            </w:pPr>
            <w:r w:rsidRPr="00F12408">
              <w:t>0.8%</w:t>
            </w:r>
          </w:p>
        </w:tc>
      </w:tr>
      <w:tr w:rsidR="00F12408" w:rsidRPr="00F12408" w14:paraId="428135FC"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1C7E3938" w14:textId="271DDF33" w:rsidR="00F12408" w:rsidRPr="00F12408" w:rsidRDefault="00180257" w:rsidP="0041215C">
            <w:pPr>
              <w:jc w:val="center"/>
            </w:pPr>
            <w:r w:rsidRPr="00F12408">
              <w:t>Onondaga</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3165E180" w14:textId="2B548232" w:rsidR="00F12408" w:rsidRPr="00F12408" w:rsidRDefault="00F12408" w:rsidP="0041215C">
            <w:pPr>
              <w:jc w:val="center"/>
            </w:pPr>
            <w:r w:rsidRPr="00F12408">
              <w:t>$154,563,410</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2C88C245" w14:textId="641372FB" w:rsidR="00F12408" w:rsidRPr="00F12408" w:rsidRDefault="00F12408" w:rsidP="0041215C">
            <w:pPr>
              <w:jc w:val="center"/>
            </w:pPr>
            <w:r w:rsidRPr="00F12408">
              <w:t>61,378</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15919195" w14:textId="592EF793" w:rsidR="00F12408" w:rsidRPr="00F12408" w:rsidRDefault="00F12408" w:rsidP="0041215C">
            <w:pPr>
              <w:jc w:val="center"/>
            </w:pPr>
            <w:r w:rsidRPr="00F12408">
              <w:t>$2,610,078</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0C8AC3AB" w14:textId="77777777" w:rsidR="00F12408" w:rsidRPr="00F12408" w:rsidRDefault="00F12408" w:rsidP="0041215C">
            <w:pPr>
              <w:jc w:val="center"/>
            </w:pPr>
            <w:r w:rsidRPr="00F12408">
              <w:t>2.0%</w:t>
            </w:r>
          </w:p>
        </w:tc>
      </w:tr>
      <w:tr w:rsidR="00F12408" w:rsidRPr="00F12408" w14:paraId="4227E8DE"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200ED98" w14:textId="1D97B004" w:rsidR="00F12408" w:rsidRPr="00F12408" w:rsidRDefault="00180257" w:rsidP="0041215C">
            <w:pPr>
              <w:jc w:val="center"/>
            </w:pPr>
            <w:r w:rsidRPr="00F12408">
              <w:t>Ontario</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8A7D363" w14:textId="79DCADEC" w:rsidR="00F12408" w:rsidRPr="00F12408" w:rsidRDefault="00F12408" w:rsidP="0041215C">
            <w:pPr>
              <w:jc w:val="center"/>
            </w:pPr>
            <w:r w:rsidRPr="00F12408">
              <w:t>$20,510,074</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965377C" w14:textId="220929AD" w:rsidR="00F12408" w:rsidRPr="00F12408" w:rsidRDefault="00F12408" w:rsidP="0041215C">
            <w:pPr>
              <w:jc w:val="center"/>
            </w:pPr>
            <w:r w:rsidRPr="00F12408">
              <w:t>9,140</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B0E6491" w14:textId="54909DE6" w:rsidR="00F12408" w:rsidRPr="00F12408" w:rsidRDefault="00F12408" w:rsidP="0041215C">
            <w:pPr>
              <w:jc w:val="center"/>
            </w:pPr>
            <w:r w:rsidRPr="00F12408">
              <w:t>$460,965</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234E453" w14:textId="77777777" w:rsidR="00F12408" w:rsidRPr="00F12408" w:rsidRDefault="00F12408" w:rsidP="0041215C">
            <w:pPr>
              <w:jc w:val="center"/>
            </w:pPr>
            <w:r w:rsidRPr="00F12408">
              <w:t>0.3%</w:t>
            </w:r>
          </w:p>
        </w:tc>
      </w:tr>
      <w:tr w:rsidR="00F12408" w:rsidRPr="00F12408" w14:paraId="497F4EB1"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101D66A5" w14:textId="76528EB6" w:rsidR="00F12408" w:rsidRPr="00F12408" w:rsidRDefault="00180257" w:rsidP="0041215C">
            <w:pPr>
              <w:jc w:val="center"/>
            </w:pPr>
            <w:r w:rsidRPr="00F12408">
              <w:t>Orange</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52F771D3" w14:textId="4B066868" w:rsidR="00F12408" w:rsidRPr="00F12408" w:rsidRDefault="00F12408" w:rsidP="0041215C">
            <w:pPr>
              <w:jc w:val="center"/>
            </w:pPr>
            <w:r w:rsidRPr="00F12408">
              <w:t>$101,165,116</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9D69A18" w14:textId="4FE02E2E" w:rsidR="00F12408" w:rsidRPr="00F12408" w:rsidRDefault="00F12408" w:rsidP="0041215C">
            <w:pPr>
              <w:jc w:val="center"/>
            </w:pPr>
            <w:r w:rsidRPr="00F12408">
              <w:t>42,828</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38E280E2" w14:textId="665870BA" w:rsidR="00F12408" w:rsidRPr="00F12408" w:rsidRDefault="00F12408" w:rsidP="0041215C">
            <w:pPr>
              <w:jc w:val="center"/>
            </w:pPr>
            <w:r w:rsidRPr="00F12408">
              <w:t>$2,143,556</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647722CF" w14:textId="77777777" w:rsidR="00F12408" w:rsidRPr="00F12408" w:rsidRDefault="00F12408" w:rsidP="0041215C">
            <w:pPr>
              <w:jc w:val="center"/>
            </w:pPr>
            <w:r w:rsidRPr="00F12408">
              <w:t>1.3%</w:t>
            </w:r>
          </w:p>
        </w:tc>
      </w:tr>
      <w:tr w:rsidR="00F12408" w:rsidRPr="00F12408" w14:paraId="4436A6DC"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3FAC0EE" w14:textId="3AB5765A" w:rsidR="00F12408" w:rsidRPr="00F12408" w:rsidRDefault="00180257" w:rsidP="0041215C">
            <w:pPr>
              <w:jc w:val="center"/>
            </w:pPr>
            <w:r w:rsidRPr="00F12408">
              <w:t>Orleans</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5C84221" w14:textId="69E97D7D" w:rsidR="00F12408" w:rsidRPr="00F12408" w:rsidRDefault="00F12408" w:rsidP="0041215C">
            <w:pPr>
              <w:jc w:val="center"/>
            </w:pPr>
            <w:r w:rsidRPr="00F12408">
              <w:t>$10,980,049</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E9DB365" w14:textId="3D801028" w:rsidR="00F12408" w:rsidRPr="00F12408" w:rsidRDefault="00F12408" w:rsidP="0041215C">
            <w:pPr>
              <w:jc w:val="center"/>
            </w:pPr>
            <w:r w:rsidRPr="00F12408">
              <w:t>4,836</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2F80780" w14:textId="74F8B003" w:rsidR="00F12408" w:rsidRPr="00F12408" w:rsidRDefault="00F12408" w:rsidP="0041215C">
            <w:pPr>
              <w:jc w:val="center"/>
            </w:pPr>
            <w:r w:rsidRPr="00F12408">
              <w:t>$251,765</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044A339" w14:textId="77777777" w:rsidR="00F12408" w:rsidRPr="00F12408" w:rsidRDefault="00F12408" w:rsidP="0041215C">
            <w:pPr>
              <w:jc w:val="center"/>
            </w:pPr>
            <w:r w:rsidRPr="00F12408">
              <w:t>0.1%</w:t>
            </w:r>
          </w:p>
        </w:tc>
      </w:tr>
      <w:tr w:rsidR="00F12408" w:rsidRPr="00F12408" w14:paraId="2C83503E"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FAC2800" w14:textId="776199B0" w:rsidR="00F12408" w:rsidRPr="00F12408" w:rsidRDefault="00180257" w:rsidP="0041215C">
            <w:pPr>
              <w:jc w:val="center"/>
            </w:pPr>
            <w:r w:rsidRPr="00F12408">
              <w:t>Oswego</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0A877F4A" w14:textId="038548FF" w:rsidR="00F12408" w:rsidRPr="00F12408" w:rsidRDefault="00F12408" w:rsidP="0041215C">
            <w:pPr>
              <w:jc w:val="center"/>
            </w:pPr>
            <w:r w:rsidRPr="00F12408">
              <w:t>$37,380,908</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0B2AF3F5" w14:textId="2B4E1350" w:rsidR="00F12408" w:rsidRPr="00F12408" w:rsidRDefault="00F12408" w:rsidP="0041215C">
            <w:pPr>
              <w:jc w:val="center"/>
            </w:pPr>
            <w:r w:rsidRPr="00F12408">
              <w:t>16,350</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09DDA8B7" w14:textId="6D47B223" w:rsidR="00F12408" w:rsidRPr="00F12408" w:rsidRDefault="00F12408" w:rsidP="0041215C">
            <w:pPr>
              <w:jc w:val="center"/>
            </w:pPr>
            <w:r w:rsidRPr="00F12408">
              <w:t>$797,450</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179E3C7D" w14:textId="77777777" w:rsidR="00F12408" w:rsidRPr="00F12408" w:rsidRDefault="00F12408" w:rsidP="0041215C">
            <w:pPr>
              <w:jc w:val="center"/>
            </w:pPr>
            <w:r w:rsidRPr="00F12408">
              <w:t>0.5%</w:t>
            </w:r>
          </w:p>
        </w:tc>
      </w:tr>
      <w:tr w:rsidR="00F12408" w:rsidRPr="00F12408" w14:paraId="26852470"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4AA2347" w14:textId="407B604E" w:rsidR="00F12408" w:rsidRPr="00F12408" w:rsidRDefault="00180257" w:rsidP="0041215C">
            <w:pPr>
              <w:jc w:val="center"/>
            </w:pPr>
            <w:r w:rsidRPr="00F12408">
              <w:t>Otsego</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E1842F1" w14:textId="7289CCE4" w:rsidR="00F12408" w:rsidRPr="00F12408" w:rsidRDefault="00F12408" w:rsidP="0041215C">
            <w:pPr>
              <w:jc w:val="center"/>
            </w:pPr>
            <w:r w:rsidRPr="00F12408">
              <w:t>$14,446,322</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3CD03D3" w14:textId="2B86417D" w:rsidR="00F12408" w:rsidRPr="00F12408" w:rsidRDefault="00F12408" w:rsidP="0041215C">
            <w:pPr>
              <w:jc w:val="center"/>
            </w:pPr>
            <w:r w:rsidRPr="00F12408">
              <w:t>6,345</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B187B30" w14:textId="588B1939" w:rsidR="00F12408" w:rsidRPr="00F12408" w:rsidRDefault="00F12408" w:rsidP="0041215C">
            <w:pPr>
              <w:jc w:val="center"/>
            </w:pPr>
            <w:r w:rsidRPr="00F12408">
              <w:t>$263,459</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53AA97E" w14:textId="77777777" w:rsidR="00F12408" w:rsidRPr="00F12408" w:rsidRDefault="00F12408" w:rsidP="0041215C">
            <w:pPr>
              <w:jc w:val="center"/>
            </w:pPr>
            <w:r w:rsidRPr="00F12408">
              <w:t>0.2%</w:t>
            </w:r>
          </w:p>
        </w:tc>
      </w:tr>
      <w:tr w:rsidR="00F12408" w:rsidRPr="00F12408" w14:paraId="2C0BCF33"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5CD3921C" w14:textId="70267BC6" w:rsidR="00F12408" w:rsidRPr="00F12408" w:rsidRDefault="00180257" w:rsidP="0041215C">
            <w:pPr>
              <w:jc w:val="center"/>
            </w:pPr>
            <w:r w:rsidRPr="00F12408">
              <w:t>Putnam</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3B992991" w14:textId="6B537E1D" w:rsidR="00F12408" w:rsidRPr="00F12408" w:rsidRDefault="00F12408" w:rsidP="0041215C">
            <w:pPr>
              <w:jc w:val="center"/>
            </w:pPr>
            <w:r w:rsidRPr="00F12408">
              <w:t>$7,127,147</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DDC8101" w14:textId="7D1A19A4" w:rsidR="00F12408" w:rsidRPr="00F12408" w:rsidRDefault="00F12408" w:rsidP="0041215C">
            <w:pPr>
              <w:jc w:val="center"/>
            </w:pPr>
            <w:r w:rsidRPr="00F12408">
              <w:t>2,736</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0F4E01B2" w14:textId="6D569333" w:rsidR="00F12408" w:rsidRPr="00F12408" w:rsidRDefault="00F12408" w:rsidP="0041215C">
            <w:pPr>
              <w:jc w:val="center"/>
            </w:pPr>
            <w:r w:rsidRPr="00F12408">
              <w:t>$272,665</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3EA3C6BB" w14:textId="77777777" w:rsidR="00F12408" w:rsidRPr="00F12408" w:rsidRDefault="00F12408" w:rsidP="0041215C">
            <w:pPr>
              <w:jc w:val="center"/>
            </w:pPr>
            <w:r w:rsidRPr="00F12408">
              <w:t>0.1%</w:t>
            </w:r>
          </w:p>
        </w:tc>
      </w:tr>
      <w:tr w:rsidR="00F12408" w:rsidRPr="00F12408" w14:paraId="62934397"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189425" w14:textId="0851596F" w:rsidR="00F12408" w:rsidRPr="00F12408" w:rsidRDefault="00180257" w:rsidP="0041215C">
            <w:pPr>
              <w:jc w:val="center"/>
            </w:pPr>
            <w:r w:rsidRPr="00F12408">
              <w:t>Rensselaer</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5F82742" w14:textId="2D59F7A6" w:rsidR="00F12408" w:rsidRPr="00F12408" w:rsidRDefault="00F12408" w:rsidP="0041215C">
            <w:pPr>
              <w:jc w:val="center"/>
            </w:pPr>
            <w:r w:rsidRPr="00F12408">
              <w:t>$35,274,548</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C06E453" w14:textId="6F7E7956" w:rsidR="00F12408" w:rsidRPr="00F12408" w:rsidRDefault="00F12408" w:rsidP="0041215C">
            <w:pPr>
              <w:jc w:val="center"/>
            </w:pPr>
            <w:r w:rsidRPr="00F12408">
              <w:t>15,127</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F71F35B" w14:textId="6201D6DF" w:rsidR="00F12408" w:rsidRPr="00F12408" w:rsidRDefault="00F12408" w:rsidP="0041215C">
            <w:pPr>
              <w:jc w:val="center"/>
            </w:pPr>
            <w:r w:rsidRPr="00F12408">
              <w:t>$588,380</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191D488" w14:textId="77777777" w:rsidR="00F12408" w:rsidRPr="00F12408" w:rsidRDefault="00F12408" w:rsidP="0041215C">
            <w:pPr>
              <w:jc w:val="center"/>
            </w:pPr>
            <w:r w:rsidRPr="00F12408">
              <w:t>0.5%</w:t>
            </w:r>
          </w:p>
        </w:tc>
      </w:tr>
      <w:tr w:rsidR="00F12408" w:rsidRPr="00F12408" w14:paraId="6205EE5B"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4694DE0F" w14:textId="4D2AAA76" w:rsidR="00F12408" w:rsidRPr="00F12408" w:rsidRDefault="00180257" w:rsidP="0041215C">
            <w:pPr>
              <w:jc w:val="center"/>
            </w:pPr>
            <w:r w:rsidRPr="00F12408">
              <w:t>Rockland</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5817B5FF" w14:textId="7B9D01F3" w:rsidR="00F12408" w:rsidRPr="00F12408" w:rsidRDefault="00F12408" w:rsidP="0041215C">
            <w:pPr>
              <w:jc w:val="center"/>
            </w:pPr>
            <w:r w:rsidRPr="00F12408">
              <w:t>$119,487,732</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20ADDB98" w14:textId="5160B86B" w:rsidR="00F12408" w:rsidRPr="00F12408" w:rsidRDefault="00F12408" w:rsidP="0041215C">
            <w:pPr>
              <w:jc w:val="center"/>
            </w:pPr>
            <w:r w:rsidRPr="00F12408">
              <w:t>50,454</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48CE1588" w14:textId="068FC581" w:rsidR="00F12408" w:rsidRPr="00F12408" w:rsidRDefault="00F12408" w:rsidP="0041215C">
            <w:pPr>
              <w:jc w:val="center"/>
            </w:pPr>
            <w:r w:rsidRPr="00F12408">
              <w:t>$2,187,669</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251CEEE8" w14:textId="77777777" w:rsidR="00F12408" w:rsidRPr="00F12408" w:rsidRDefault="00F12408" w:rsidP="0041215C">
            <w:pPr>
              <w:jc w:val="center"/>
            </w:pPr>
            <w:r w:rsidRPr="00F12408">
              <w:t>1.6%</w:t>
            </w:r>
          </w:p>
        </w:tc>
      </w:tr>
      <w:tr w:rsidR="00F12408" w:rsidRPr="00F12408" w14:paraId="0604E16E"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895FC1E" w14:textId="6CF1F550" w:rsidR="00F12408" w:rsidRPr="00F12408" w:rsidRDefault="00180257" w:rsidP="0041215C">
            <w:pPr>
              <w:jc w:val="center"/>
            </w:pPr>
            <w:r w:rsidRPr="00F12408">
              <w:t>S</w:t>
            </w:r>
            <w:r>
              <w:t>t.</w:t>
            </w:r>
            <w:r w:rsidRPr="00F12408">
              <w:t xml:space="preserve"> Lawrence</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CF5C352" w14:textId="5498972A" w:rsidR="00F12408" w:rsidRPr="00F12408" w:rsidRDefault="00F12408" w:rsidP="0041215C">
            <w:pPr>
              <w:jc w:val="center"/>
            </w:pPr>
            <w:r w:rsidRPr="00F12408">
              <w:t>$29,712,332</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B52F204" w14:textId="7CEC1406" w:rsidR="00F12408" w:rsidRPr="00F12408" w:rsidRDefault="00F12408" w:rsidP="0041215C">
            <w:pPr>
              <w:jc w:val="center"/>
            </w:pPr>
            <w:r w:rsidRPr="00F12408">
              <w:t>12,611</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81B3309" w14:textId="07C92E5B" w:rsidR="00F12408" w:rsidRPr="00F12408" w:rsidRDefault="00F12408" w:rsidP="0041215C">
            <w:pPr>
              <w:jc w:val="center"/>
            </w:pPr>
            <w:r w:rsidRPr="00F12408">
              <w:t>$775,738</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681A0DC" w14:textId="77777777" w:rsidR="00F12408" w:rsidRPr="00F12408" w:rsidRDefault="00F12408" w:rsidP="0041215C">
            <w:pPr>
              <w:jc w:val="center"/>
            </w:pPr>
            <w:r w:rsidRPr="00F12408">
              <w:t>0.4%</w:t>
            </w:r>
          </w:p>
        </w:tc>
      </w:tr>
      <w:tr w:rsidR="00F12408" w:rsidRPr="00F12408" w14:paraId="51ED4666"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0448F3B5" w14:textId="1EFAEF62" w:rsidR="00F12408" w:rsidRPr="00F12408" w:rsidRDefault="00180257" w:rsidP="0041215C">
            <w:pPr>
              <w:jc w:val="center"/>
            </w:pPr>
            <w:r w:rsidRPr="00F12408">
              <w:t>Saratoga</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DBA29D0" w14:textId="4C041C6B" w:rsidR="00F12408" w:rsidRPr="00F12408" w:rsidRDefault="00F12408" w:rsidP="0041215C">
            <w:pPr>
              <w:jc w:val="center"/>
            </w:pPr>
            <w:r w:rsidRPr="00F12408">
              <w:t>$31,148,873</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69E30034" w14:textId="54C31A06" w:rsidR="00F12408" w:rsidRPr="00F12408" w:rsidRDefault="00F12408" w:rsidP="0041215C">
            <w:pPr>
              <w:jc w:val="center"/>
            </w:pPr>
            <w:r w:rsidRPr="00F12408">
              <w:t>13,364</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448BBD9B" w14:textId="5BCA3A42" w:rsidR="00F12408" w:rsidRPr="00F12408" w:rsidRDefault="00F12408" w:rsidP="0041215C">
            <w:pPr>
              <w:jc w:val="center"/>
            </w:pPr>
            <w:r w:rsidRPr="00F12408">
              <w:t>$735,649</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3FF5C0AB" w14:textId="77777777" w:rsidR="00F12408" w:rsidRPr="00F12408" w:rsidRDefault="00F12408" w:rsidP="0041215C">
            <w:pPr>
              <w:jc w:val="center"/>
            </w:pPr>
            <w:r w:rsidRPr="00F12408">
              <w:t>0.4%</w:t>
            </w:r>
          </w:p>
        </w:tc>
      </w:tr>
      <w:tr w:rsidR="00F12408" w:rsidRPr="00F12408" w14:paraId="5F582AE8"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6B28E93" w14:textId="6B6F8BF6" w:rsidR="00F12408" w:rsidRPr="00F12408" w:rsidRDefault="00180257" w:rsidP="0041215C">
            <w:pPr>
              <w:jc w:val="center"/>
            </w:pPr>
            <w:r w:rsidRPr="00F12408">
              <w:t>Schenectady</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B1456DF" w14:textId="7829ED42" w:rsidR="00F12408" w:rsidRPr="00F12408" w:rsidRDefault="00F12408" w:rsidP="0041215C">
            <w:pPr>
              <w:jc w:val="center"/>
            </w:pPr>
            <w:r w:rsidRPr="00F12408">
              <w:t>$49,796,247</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6558F11" w14:textId="7B8003C5" w:rsidR="00F12408" w:rsidRPr="00F12408" w:rsidRDefault="00F12408" w:rsidP="0041215C">
            <w:pPr>
              <w:jc w:val="center"/>
            </w:pPr>
            <w:r w:rsidRPr="00F12408">
              <w:t>20,544</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B5E41CA" w14:textId="791D9413" w:rsidR="00F12408" w:rsidRPr="00F12408" w:rsidRDefault="00F12408" w:rsidP="0041215C">
            <w:pPr>
              <w:jc w:val="center"/>
            </w:pPr>
            <w:r w:rsidRPr="00F12408">
              <w:t>$181,620</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A0EA837" w14:textId="77777777" w:rsidR="00F12408" w:rsidRPr="00F12408" w:rsidRDefault="00F12408" w:rsidP="0041215C">
            <w:pPr>
              <w:jc w:val="center"/>
            </w:pPr>
            <w:r w:rsidRPr="00F12408">
              <w:t>0.7%</w:t>
            </w:r>
          </w:p>
        </w:tc>
      </w:tr>
      <w:tr w:rsidR="00F12408" w:rsidRPr="00F12408" w14:paraId="1D61DA9E"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5472F9D2" w14:textId="497B1EA7" w:rsidR="00F12408" w:rsidRPr="00F12408" w:rsidRDefault="00180257" w:rsidP="0041215C">
            <w:pPr>
              <w:jc w:val="center"/>
            </w:pPr>
            <w:r w:rsidRPr="00F12408">
              <w:t>Schoharie</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59E6CA93" w14:textId="7EC69250" w:rsidR="00F12408" w:rsidRPr="00F12408" w:rsidRDefault="00F12408" w:rsidP="0041215C">
            <w:pPr>
              <w:jc w:val="center"/>
            </w:pPr>
            <w:r w:rsidRPr="00F12408">
              <w:t>$8,078,856</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05F648B7" w14:textId="22E7F92E" w:rsidR="00F12408" w:rsidRPr="00F12408" w:rsidRDefault="00F12408" w:rsidP="0041215C">
            <w:pPr>
              <w:jc w:val="center"/>
            </w:pPr>
            <w:r w:rsidRPr="00F12408">
              <w:t>3,588</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545049C1" w14:textId="384F25C4" w:rsidR="00F12408" w:rsidRPr="00F12408" w:rsidRDefault="00F12408" w:rsidP="0041215C">
            <w:pPr>
              <w:jc w:val="center"/>
            </w:pPr>
            <w:r w:rsidRPr="00F12408">
              <w:t>$183,876</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272A5093" w14:textId="77777777" w:rsidR="00F12408" w:rsidRPr="00F12408" w:rsidRDefault="00F12408" w:rsidP="0041215C">
            <w:pPr>
              <w:jc w:val="center"/>
            </w:pPr>
            <w:r w:rsidRPr="00F12408">
              <w:t>0.1%</w:t>
            </w:r>
          </w:p>
        </w:tc>
      </w:tr>
      <w:tr w:rsidR="00F12408" w:rsidRPr="00F12408" w14:paraId="292148A8"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E0C9040" w14:textId="12F2B85F" w:rsidR="00F12408" w:rsidRPr="00F12408" w:rsidRDefault="00180257" w:rsidP="0041215C">
            <w:pPr>
              <w:jc w:val="center"/>
            </w:pPr>
            <w:r w:rsidRPr="00F12408">
              <w:t>Schuyler</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306D193" w14:textId="4F6891B1" w:rsidR="00F12408" w:rsidRPr="00F12408" w:rsidRDefault="00F12408" w:rsidP="0041215C">
            <w:pPr>
              <w:jc w:val="center"/>
            </w:pPr>
            <w:r w:rsidRPr="00F12408">
              <w:t>$3,891,570</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7A2C493" w14:textId="79AA03B2" w:rsidR="00F12408" w:rsidRPr="00F12408" w:rsidRDefault="00F12408" w:rsidP="0041215C">
            <w:pPr>
              <w:jc w:val="center"/>
            </w:pPr>
            <w:r w:rsidRPr="00F12408">
              <w:t>1,692</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5C22E1" w14:textId="0A5CC00C" w:rsidR="00F12408" w:rsidRPr="00F12408" w:rsidRDefault="00F12408" w:rsidP="0041215C">
            <w:pPr>
              <w:jc w:val="center"/>
            </w:pPr>
            <w:r w:rsidRPr="00F12408">
              <w:t>$241,351</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BB2E5A8" w14:textId="77777777" w:rsidR="00F12408" w:rsidRPr="00F12408" w:rsidRDefault="00F12408" w:rsidP="0041215C">
            <w:pPr>
              <w:jc w:val="center"/>
            </w:pPr>
            <w:r w:rsidRPr="00F12408">
              <w:t>0.1%</w:t>
            </w:r>
          </w:p>
        </w:tc>
      </w:tr>
      <w:tr w:rsidR="00F12408" w:rsidRPr="00F12408" w14:paraId="1DC61FD4"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CED1AB6" w14:textId="4FA35247" w:rsidR="00F12408" w:rsidRPr="00F12408" w:rsidRDefault="00180257" w:rsidP="0041215C">
            <w:pPr>
              <w:jc w:val="center"/>
            </w:pPr>
            <w:r w:rsidRPr="00F12408">
              <w:lastRenderedPageBreak/>
              <w:t>Seneca</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2F26B579" w14:textId="234053EB" w:rsidR="00F12408" w:rsidRPr="00F12408" w:rsidRDefault="00F12408" w:rsidP="0041215C">
            <w:pPr>
              <w:jc w:val="center"/>
            </w:pPr>
            <w:r w:rsidRPr="00F12408">
              <w:t>$7,449,664</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B0CB872" w14:textId="75E023C0" w:rsidR="00F12408" w:rsidRPr="00F12408" w:rsidRDefault="00F12408" w:rsidP="0041215C">
            <w:pPr>
              <w:jc w:val="center"/>
            </w:pPr>
            <w:r w:rsidRPr="00F12408">
              <w:t>3,327</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320CF749" w14:textId="32C88499" w:rsidR="00F12408" w:rsidRPr="00F12408" w:rsidRDefault="00F12408" w:rsidP="0041215C">
            <w:pPr>
              <w:jc w:val="center"/>
            </w:pPr>
            <w:r w:rsidRPr="00F12408">
              <w:t>$570,125</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36776763" w14:textId="77777777" w:rsidR="00F12408" w:rsidRPr="00F12408" w:rsidRDefault="00F12408" w:rsidP="0041215C">
            <w:pPr>
              <w:jc w:val="center"/>
            </w:pPr>
            <w:r w:rsidRPr="00F12408">
              <w:t>0.1%</w:t>
            </w:r>
          </w:p>
        </w:tc>
      </w:tr>
      <w:tr w:rsidR="00F12408" w:rsidRPr="00F12408" w14:paraId="556750C9"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4BFB9D8" w14:textId="38B5FB60" w:rsidR="00F12408" w:rsidRPr="00F12408" w:rsidRDefault="00180257" w:rsidP="0041215C">
            <w:pPr>
              <w:jc w:val="center"/>
            </w:pPr>
            <w:r w:rsidRPr="00F12408">
              <w:t>Steuben</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A49654A" w14:textId="5193A132" w:rsidR="00F12408" w:rsidRPr="00F12408" w:rsidRDefault="00F12408" w:rsidP="0041215C">
            <w:pPr>
              <w:jc w:val="center"/>
            </w:pPr>
            <w:r w:rsidRPr="00F12408">
              <w:t>$25,542,315</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CBFAF35" w14:textId="279BDD2C" w:rsidR="00F12408" w:rsidRPr="00F12408" w:rsidRDefault="00F12408" w:rsidP="0041215C">
            <w:pPr>
              <w:jc w:val="center"/>
            </w:pPr>
            <w:r w:rsidRPr="00F12408">
              <w:t>11,405</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0B17099" w14:textId="2180AAF1" w:rsidR="00F12408" w:rsidRPr="00F12408" w:rsidRDefault="00F12408" w:rsidP="0041215C">
            <w:pPr>
              <w:jc w:val="center"/>
            </w:pPr>
            <w:r w:rsidRPr="00F12408">
              <w:t>$672,625</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2399072" w14:textId="77777777" w:rsidR="00F12408" w:rsidRPr="00F12408" w:rsidRDefault="00F12408" w:rsidP="0041215C">
            <w:pPr>
              <w:jc w:val="center"/>
            </w:pPr>
            <w:r w:rsidRPr="00F12408">
              <w:t>0.3%</w:t>
            </w:r>
          </w:p>
        </w:tc>
      </w:tr>
      <w:tr w:rsidR="00F12408" w:rsidRPr="00F12408" w14:paraId="1355F9F1"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7931405" w14:textId="266AEE8A" w:rsidR="00F12408" w:rsidRPr="00F12408" w:rsidRDefault="00180257" w:rsidP="0041215C">
            <w:pPr>
              <w:jc w:val="center"/>
            </w:pPr>
            <w:r w:rsidRPr="00F12408">
              <w:t>Suffolk</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6073FE53" w14:textId="602A9DBD" w:rsidR="00F12408" w:rsidRPr="00F12408" w:rsidRDefault="00F12408" w:rsidP="0041215C">
            <w:pPr>
              <w:jc w:val="center"/>
            </w:pPr>
            <w:r w:rsidRPr="00F12408">
              <w:t>$334,974,960</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5CF08F64" w14:textId="5DF252B8" w:rsidR="00F12408" w:rsidRPr="00F12408" w:rsidRDefault="00F12408" w:rsidP="0041215C">
            <w:pPr>
              <w:jc w:val="center"/>
            </w:pPr>
            <w:r w:rsidRPr="00F12408">
              <w:t>117,734</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13B9D5FC" w14:textId="345C4EBC" w:rsidR="00F12408" w:rsidRPr="00F12408" w:rsidRDefault="00F12408" w:rsidP="0041215C">
            <w:pPr>
              <w:jc w:val="center"/>
            </w:pPr>
            <w:r w:rsidRPr="00F12408">
              <w:t>$5,718,310</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5B52D22D" w14:textId="77777777" w:rsidR="00F12408" w:rsidRPr="00F12408" w:rsidRDefault="00F12408" w:rsidP="0041215C">
            <w:pPr>
              <w:jc w:val="center"/>
            </w:pPr>
            <w:r w:rsidRPr="00F12408">
              <w:t>4.4%</w:t>
            </w:r>
          </w:p>
        </w:tc>
      </w:tr>
      <w:tr w:rsidR="00F12408" w:rsidRPr="00F12408" w14:paraId="029F0FE6"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462541C" w14:textId="1D37B517" w:rsidR="00F12408" w:rsidRPr="00F12408" w:rsidRDefault="00180257" w:rsidP="0041215C">
            <w:pPr>
              <w:jc w:val="center"/>
            </w:pPr>
            <w:r w:rsidRPr="00F12408">
              <w:t>Sullivan</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B41B3E7" w14:textId="54455FBB" w:rsidR="00F12408" w:rsidRPr="00F12408" w:rsidRDefault="00F12408" w:rsidP="0041215C">
            <w:pPr>
              <w:jc w:val="center"/>
            </w:pPr>
            <w:r w:rsidRPr="00F12408">
              <w:t>$30,805,583</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29F76D1" w14:textId="0476762F" w:rsidR="00F12408" w:rsidRPr="00F12408" w:rsidRDefault="00F12408" w:rsidP="0041215C">
            <w:pPr>
              <w:jc w:val="center"/>
            </w:pPr>
            <w:r w:rsidRPr="00F12408">
              <w:t>12,213</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A9DF7DC" w14:textId="4FA0961B" w:rsidR="00F12408" w:rsidRPr="00F12408" w:rsidRDefault="00F12408" w:rsidP="0041215C">
            <w:pPr>
              <w:jc w:val="center"/>
            </w:pPr>
            <w:r w:rsidRPr="00F12408">
              <w:t>$750,242</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93A74C8" w14:textId="77777777" w:rsidR="00F12408" w:rsidRPr="00F12408" w:rsidRDefault="00F12408" w:rsidP="0041215C">
            <w:pPr>
              <w:jc w:val="center"/>
            </w:pPr>
            <w:r w:rsidRPr="00F12408">
              <w:t>0.4%</w:t>
            </w:r>
          </w:p>
        </w:tc>
      </w:tr>
      <w:tr w:rsidR="00F12408" w:rsidRPr="00F12408" w14:paraId="4A99ED42"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2B31ABF8" w14:textId="736779B8" w:rsidR="00F12408" w:rsidRPr="00F12408" w:rsidRDefault="00180257" w:rsidP="0041215C">
            <w:pPr>
              <w:jc w:val="center"/>
            </w:pPr>
            <w:r w:rsidRPr="00F12408">
              <w:t>Tioga</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2B9F1287" w14:textId="5EAB6A04" w:rsidR="00F12408" w:rsidRPr="00F12408" w:rsidRDefault="00F12408" w:rsidP="0041215C">
            <w:pPr>
              <w:jc w:val="center"/>
            </w:pPr>
            <w:r w:rsidRPr="00F12408">
              <w:t>$10,213,833</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10968FD3" w14:textId="710EFDFB" w:rsidR="00F12408" w:rsidRPr="00F12408" w:rsidRDefault="00F12408" w:rsidP="0041215C">
            <w:pPr>
              <w:jc w:val="center"/>
            </w:pPr>
            <w:r w:rsidRPr="00F12408">
              <w:t>4,837</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B184FC4" w14:textId="673280EA" w:rsidR="00F12408" w:rsidRPr="00F12408" w:rsidRDefault="00F12408" w:rsidP="0041215C">
            <w:pPr>
              <w:jc w:val="center"/>
            </w:pPr>
            <w:r w:rsidRPr="00F12408">
              <w:t>$293,605</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6EB9024B" w14:textId="77777777" w:rsidR="00F12408" w:rsidRPr="00F12408" w:rsidRDefault="00F12408" w:rsidP="0041215C">
            <w:pPr>
              <w:jc w:val="center"/>
            </w:pPr>
            <w:r w:rsidRPr="00F12408">
              <w:t>0.1%</w:t>
            </w:r>
          </w:p>
        </w:tc>
      </w:tr>
      <w:tr w:rsidR="00F12408" w:rsidRPr="00F12408" w14:paraId="2608D061"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E2FDA1E" w14:textId="43DB2102" w:rsidR="00F12408" w:rsidRPr="00F12408" w:rsidRDefault="00180257" w:rsidP="0041215C">
            <w:pPr>
              <w:jc w:val="center"/>
            </w:pPr>
            <w:r w:rsidRPr="00F12408">
              <w:t>Tompkins</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CF5BE8" w14:textId="17887F3B" w:rsidR="00F12408" w:rsidRPr="00F12408" w:rsidRDefault="00F12408" w:rsidP="0041215C">
            <w:pPr>
              <w:jc w:val="center"/>
            </w:pPr>
            <w:r w:rsidRPr="00F12408">
              <w:t>$18,164,462</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A05B72A" w14:textId="6A85B553" w:rsidR="00F12408" w:rsidRPr="00F12408" w:rsidRDefault="00F12408" w:rsidP="0041215C">
            <w:pPr>
              <w:jc w:val="center"/>
            </w:pPr>
            <w:r w:rsidRPr="00F12408">
              <w:t>7,144</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8507E9A" w14:textId="268A2884" w:rsidR="00F12408" w:rsidRPr="00F12408" w:rsidRDefault="00F12408" w:rsidP="0041215C">
            <w:pPr>
              <w:jc w:val="center"/>
            </w:pPr>
            <w:r w:rsidRPr="00F12408">
              <w:t>$494,709</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315CA8F" w14:textId="77777777" w:rsidR="00F12408" w:rsidRPr="00F12408" w:rsidRDefault="00F12408" w:rsidP="0041215C">
            <w:pPr>
              <w:jc w:val="center"/>
            </w:pPr>
            <w:r w:rsidRPr="00F12408">
              <w:t>0.0%</w:t>
            </w:r>
          </w:p>
        </w:tc>
      </w:tr>
      <w:tr w:rsidR="00F12408" w:rsidRPr="00F12408" w14:paraId="461CD255"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3B2ED99A" w14:textId="0D2B838E" w:rsidR="00F12408" w:rsidRPr="00F12408" w:rsidRDefault="00180257" w:rsidP="0041215C">
            <w:pPr>
              <w:jc w:val="center"/>
            </w:pPr>
            <w:r w:rsidRPr="00F12408">
              <w:t>Ulster</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0F5EC3E9" w14:textId="1D4110FE" w:rsidR="00F12408" w:rsidRPr="00F12408" w:rsidRDefault="00F12408" w:rsidP="0041215C">
            <w:pPr>
              <w:jc w:val="center"/>
            </w:pPr>
            <w:r w:rsidRPr="00F12408">
              <w:t>$41,614,175</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418E88C0" w14:textId="6435AD39" w:rsidR="00F12408" w:rsidRPr="00F12408" w:rsidRDefault="00F12408" w:rsidP="0041215C">
            <w:pPr>
              <w:jc w:val="center"/>
            </w:pPr>
            <w:r w:rsidRPr="00F12408">
              <w:t>15,579</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1421160E" w14:textId="7A435273" w:rsidR="00F12408" w:rsidRPr="00F12408" w:rsidRDefault="00F12408" w:rsidP="0041215C">
            <w:pPr>
              <w:jc w:val="center"/>
            </w:pPr>
            <w:r w:rsidRPr="00F12408">
              <w:t>$738,057</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5457C491" w14:textId="77777777" w:rsidR="00F12408" w:rsidRPr="00F12408" w:rsidRDefault="00F12408" w:rsidP="0041215C">
            <w:pPr>
              <w:jc w:val="center"/>
            </w:pPr>
            <w:r w:rsidRPr="00F12408">
              <w:t>0.5%</w:t>
            </w:r>
          </w:p>
        </w:tc>
      </w:tr>
      <w:tr w:rsidR="00F12408" w:rsidRPr="00F12408" w14:paraId="3FC0315F"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ABDD0AF" w14:textId="340632F2" w:rsidR="00F12408" w:rsidRPr="00F12408" w:rsidRDefault="00180257" w:rsidP="0041215C">
            <w:pPr>
              <w:jc w:val="center"/>
            </w:pPr>
            <w:r w:rsidRPr="00F12408">
              <w:t>Warren</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FBA031" w14:textId="03BEF174" w:rsidR="00F12408" w:rsidRPr="00F12408" w:rsidRDefault="00F12408" w:rsidP="0041215C">
            <w:pPr>
              <w:jc w:val="center"/>
            </w:pPr>
            <w:r w:rsidRPr="00F12408">
              <w:t>$15,024,331</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63D50BD" w14:textId="4F41A35D" w:rsidR="00F12408" w:rsidRPr="00F12408" w:rsidRDefault="00F12408" w:rsidP="0041215C">
            <w:pPr>
              <w:jc w:val="center"/>
            </w:pPr>
            <w:r w:rsidRPr="00F12408">
              <w:t>6,453</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94F53CE" w14:textId="242517C7" w:rsidR="00F12408" w:rsidRPr="00F12408" w:rsidRDefault="00F12408" w:rsidP="0041215C">
            <w:pPr>
              <w:jc w:val="center"/>
            </w:pPr>
            <w:r w:rsidRPr="00F12408">
              <w:t>$416,854</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34EC3F4" w14:textId="77777777" w:rsidR="00F12408" w:rsidRPr="00F12408" w:rsidRDefault="00F12408" w:rsidP="0041215C">
            <w:pPr>
              <w:jc w:val="center"/>
            </w:pPr>
            <w:r w:rsidRPr="00F12408">
              <w:t>0.2%</w:t>
            </w:r>
          </w:p>
        </w:tc>
      </w:tr>
      <w:tr w:rsidR="00F12408" w:rsidRPr="00F12408" w14:paraId="338D65F1"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4B32D929" w14:textId="7D284A89" w:rsidR="00F12408" w:rsidRPr="00F12408" w:rsidRDefault="00180257" w:rsidP="0041215C">
            <w:pPr>
              <w:jc w:val="center"/>
            </w:pPr>
            <w:r w:rsidRPr="00F12408">
              <w:t>Washington</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8C1D6F4" w14:textId="3E0E03D6" w:rsidR="00F12408" w:rsidRPr="00F12408" w:rsidRDefault="00F12408" w:rsidP="0041215C">
            <w:pPr>
              <w:jc w:val="center"/>
            </w:pPr>
            <w:r w:rsidRPr="00F12408">
              <w:t>$14,323,843</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3F603F68" w14:textId="3AB5FAB7" w:rsidR="00F12408" w:rsidRPr="00F12408" w:rsidRDefault="00F12408" w:rsidP="0041215C">
            <w:pPr>
              <w:jc w:val="center"/>
            </w:pPr>
            <w:r w:rsidRPr="00F12408">
              <w:t>6,620</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6A6D60DB" w14:textId="72600D61" w:rsidR="00F12408" w:rsidRPr="00F12408" w:rsidRDefault="00F12408" w:rsidP="0041215C">
            <w:pPr>
              <w:jc w:val="center"/>
            </w:pPr>
            <w:r w:rsidRPr="00F12408">
              <w:t>$574,558</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012996DE" w14:textId="77777777" w:rsidR="00F12408" w:rsidRPr="00F12408" w:rsidRDefault="00F12408" w:rsidP="0041215C">
            <w:pPr>
              <w:jc w:val="center"/>
            </w:pPr>
            <w:r w:rsidRPr="00F12408">
              <w:t>0.2%</w:t>
            </w:r>
          </w:p>
        </w:tc>
      </w:tr>
      <w:tr w:rsidR="00F12408" w:rsidRPr="00F12408" w14:paraId="64D59B32"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28C973B" w14:textId="29D68565" w:rsidR="00F12408" w:rsidRPr="00F12408" w:rsidRDefault="00180257" w:rsidP="0041215C">
            <w:pPr>
              <w:jc w:val="center"/>
            </w:pPr>
            <w:r w:rsidRPr="00F12408">
              <w:t>Wayne</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6929F1D" w14:textId="69EE2657" w:rsidR="00F12408" w:rsidRPr="00F12408" w:rsidRDefault="00F12408" w:rsidP="0041215C">
            <w:pPr>
              <w:jc w:val="center"/>
            </w:pPr>
            <w:r w:rsidRPr="00F12408">
              <w:t>$17,855,915</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1EF1A9C" w14:textId="7041CB38" w:rsidR="00F12408" w:rsidRPr="00F12408" w:rsidRDefault="00F12408" w:rsidP="0041215C">
            <w:pPr>
              <w:jc w:val="center"/>
            </w:pPr>
            <w:r w:rsidRPr="00F12408">
              <w:t>7,507</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CDCD545" w14:textId="271E079A" w:rsidR="00F12408" w:rsidRPr="00F12408" w:rsidRDefault="00F12408" w:rsidP="0041215C">
            <w:pPr>
              <w:jc w:val="center"/>
            </w:pPr>
            <w:r w:rsidRPr="00F12408">
              <w:t>$503,004</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EEA8FC" w14:textId="77777777" w:rsidR="00F12408" w:rsidRPr="00F12408" w:rsidRDefault="00F12408" w:rsidP="0041215C">
            <w:pPr>
              <w:jc w:val="center"/>
            </w:pPr>
            <w:r w:rsidRPr="00F12408">
              <w:t>0.2%</w:t>
            </w:r>
          </w:p>
        </w:tc>
      </w:tr>
      <w:tr w:rsidR="00F12408" w:rsidRPr="00F12408" w14:paraId="7A0F23DE"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1AFAA39" w14:textId="0E67A232" w:rsidR="00F12408" w:rsidRPr="00F12408" w:rsidRDefault="00180257" w:rsidP="0041215C">
            <w:pPr>
              <w:jc w:val="center"/>
            </w:pPr>
            <w:r w:rsidRPr="00F12408">
              <w:t>Westchester</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B223D79" w14:textId="461653EB" w:rsidR="00F12408" w:rsidRPr="00F12408" w:rsidRDefault="00F12408" w:rsidP="0041215C">
            <w:pPr>
              <w:jc w:val="center"/>
            </w:pPr>
            <w:r w:rsidRPr="00F12408">
              <w:t>$181,745,996</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6B9D3308" w14:textId="619E4851" w:rsidR="00F12408" w:rsidRPr="00F12408" w:rsidRDefault="00F12408" w:rsidP="0041215C">
            <w:pPr>
              <w:jc w:val="center"/>
            </w:pPr>
            <w:r w:rsidRPr="00F12408">
              <w:t>68,087</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08BB9F4A" w14:textId="1049457D" w:rsidR="00F12408" w:rsidRPr="00F12408" w:rsidRDefault="00F12408" w:rsidP="0041215C">
            <w:pPr>
              <w:jc w:val="center"/>
            </w:pPr>
            <w:r w:rsidRPr="00F12408">
              <w:t>$4,527,511</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20DA8438" w14:textId="77777777" w:rsidR="00F12408" w:rsidRPr="00F12408" w:rsidRDefault="00F12408" w:rsidP="0041215C">
            <w:pPr>
              <w:jc w:val="center"/>
            </w:pPr>
            <w:r w:rsidRPr="00F12408">
              <w:t>2.4%</w:t>
            </w:r>
          </w:p>
        </w:tc>
      </w:tr>
      <w:tr w:rsidR="00F12408" w:rsidRPr="00F12408" w14:paraId="05326C7D" w14:textId="77777777" w:rsidTr="0041215C">
        <w:trPr>
          <w:trHeight w:val="312"/>
        </w:trPr>
        <w:tc>
          <w:tcPr>
            <w:tcW w:w="19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1DFFF73" w14:textId="22C76C96" w:rsidR="00F12408" w:rsidRPr="00F12408" w:rsidRDefault="00180257" w:rsidP="0041215C">
            <w:pPr>
              <w:jc w:val="center"/>
            </w:pPr>
            <w:r w:rsidRPr="00F12408">
              <w:t>Wyoming</w:t>
            </w:r>
          </w:p>
        </w:tc>
        <w:tc>
          <w:tcPr>
            <w:tcW w:w="20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957A5BB" w14:textId="65FB7BC3" w:rsidR="00F12408" w:rsidRPr="00F12408" w:rsidRDefault="00F12408" w:rsidP="0041215C">
            <w:pPr>
              <w:jc w:val="center"/>
            </w:pPr>
            <w:r w:rsidRPr="00F12408">
              <w:t>$4,922,455</w:t>
            </w:r>
          </w:p>
        </w:tc>
        <w:tc>
          <w:tcPr>
            <w:tcW w:w="17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27DF7A9" w14:textId="7BC7E03F" w:rsidR="00F12408" w:rsidRPr="00F12408" w:rsidRDefault="00F12408" w:rsidP="0041215C">
            <w:pPr>
              <w:jc w:val="center"/>
            </w:pPr>
            <w:r w:rsidRPr="00F12408">
              <w:t>2,548</w:t>
            </w:r>
          </w:p>
        </w:tc>
        <w:tc>
          <w:tcPr>
            <w:tcW w:w="21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592EAA2" w14:textId="3DF2CD1E" w:rsidR="00F12408" w:rsidRPr="00F12408" w:rsidRDefault="00F12408" w:rsidP="0041215C">
            <w:pPr>
              <w:jc w:val="center"/>
            </w:pPr>
            <w:r w:rsidRPr="00F12408">
              <w:t>$211,764</w:t>
            </w:r>
          </w:p>
        </w:tc>
        <w:tc>
          <w:tcPr>
            <w:tcW w:w="2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0401355" w14:textId="77777777" w:rsidR="00F12408" w:rsidRPr="00F12408" w:rsidRDefault="00F12408" w:rsidP="0041215C">
            <w:pPr>
              <w:jc w:val="center"/>
            </w:pPr>
            <w:r w:rsidRPr="00F12408">
              <w:t>0.1%</w:t>
            </w:r>
          </w:p>
        </w:tc>
      </w:tr>
      <w:tr w:rsidR="00F12408" w:rsidRPr="00F12408" w14:paraId="1698F431" w14:textId="77777777" w:rsidTr="0041215C">
        <w:trPr>
          <w:trHeight w:val="324"/>
        </w:trPr>
        <w:tc>
          <w:tcPr>
            <w:tcW w:w="1982"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7A78AB42" w14:textId="4EDCEAE9" w:rsidR="00F12408" w:rsidRPr="00F12408" w:rsidRDefault="00180257" w:rsidP="0041215C">
            <w:pPr>
              <w:jc w:val="center"/>
            </w:pPr>
            <w:r w:rsidRPr="00F12408">
              <w:t>Yates</w:t>
            </w:r>
          </w:p>
        </w:tc>
        <w:tc>
          <w:tcPr>
            <w:tcW w:w="2084"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024EF77F" w14:textId="26B3D809" w:rsidR="00F12408" w:rsidRPr="00F12408" w:rsidRDefault="00F12408" w:rsidP="0041215C">
            <w:pPr>
              <w:jc w:val="center"/>
            </w:pPr>
            <w:r w:rsidRPr="00F12408">
              <w:t>$4,206,443</w:t>
            </w:r>
          </w:p>
        </w:tc>
        <w:tc>
          <w:tcPr>
            <w:tcW w:w="1718"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2A7961A2" w14:textId="5C738678" w:rsidR="00F12408" w:rsidRPr="00F12408" w:rsidRDefault="00F12408" w:rsidP="0041215C">
            <w:pPr>
              <w:jc w:val="center"/>
            </w:pPr>
            <w:r w:rsidRPr="00F12408">
              <w:t>1,928</w:t>
            </w:r>
          </w:p>
        </w:tc>
        <w:tc>
          <w:tcPr>
            <w:tcW w:w="2115"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0DA35AED" w14:textId="56FA8215" w:rsidR="00F12408" w:rsidRPr="00F12408" w:rsidRDefault="00F12408" w:rsidP="0041215C">
            <w:pPr>
              <w:jc w:val="center"/>
            </w:pPr>
            <w:r w:rsidRPr="00F12408">
              <w:t>$140,983</w:t>
            </w:r>
          </w:p>
        </w:tc>
        <w:tc>
          <w:tcPr>
            <w:tcW w:w="2020" w:type="dxa"/>
            <w:tcBorders>
              <w:top w:val="single" w:sz="4" w:space="0" w:color="auto"/>
              <w:left w:val="single" w:sz="4" w:space="0" w:color="auto"/>
              <w:bottom w:val="single" w:sz="4" w:space="0" w:color="auto"/>
              <w:right w:val="single" w:sz="4" w:space="0" w:color="auto"/>
            </w:tcBorders>
            <w:shd w:val="clear" w:color="auto" w:fill="DAE9F8"/>
            <w:noWrap/>
            <w:tcMar>
              <w:top w:w="0" w:type="dxa"/>
              <w:left w:w="108" w:type="dxa"/>
              <w:bottom w:w="0" w:type="dxa"/>
              <w:right w:w="108" w:type="dxa"/>
            </w:tcMar>
            <w:vAlign w:val="center"/>
            <w:hideMark/>
          </w:tcPr>
          <w:p w14:paraId="4EE3DCC3" w14:textId="77777777" w:rsidR="00F12408" w:rsidRPr="00F12408" w:rsidRDefault="00F12408" w:rsidP="0041215C">
            <w:pPr>
              <w:jc w:val="center"/>
            </w:pPr>
            <w:r w:rsidRPr="00F12408">
              <w:t>0.1%</w:t>
            </w:r>
          </w:p>
        </w:tc>
      </w:tr>
      <w:tr w:rsidR="00F12408" w:rsidRPr="00F12408" w14:paraId="58BE31C3" w14:textId="77777777" w:rsidTr="00180257">
        <w:trPr>
          <w:trHeight w:val="360"/>
        </w:trPr>
        <w:tc>
          <w:tcPr>
            <w:tcW w:w="1982" w:type="dxa"/>
            <w:tcBorders>
              <w:top w:val="single" w:sz="4" w:space="0" w:color="auto"/>
              <w:left w:val="single" w:sz="12" w:space="0" w:color="auto"/>
              <w:bottom w:val="single" w:sz="12" w:space="0" w:color="auto"/>
              <w:right w:val="nil"/>
            </w:tcBorders>
            <w:shd w:val="clear" w:color="auto" w:fill="004439"/>
            <w:noWrap/>
            <w:tcMar>
              <w:top w:w="0" w:type="dxa"/>
              <w:left w:w="108" w:type="dxa"/>
              <w:bottom w:w="0" w:type="dxa"/>
              <w:right w:w="108" w:type="dxa"/>
            </w:tcMar>
            <w:vAlign w:val="bottom"/>
            <w:hideMark/>
          </w:tcPr>
          <w:p w14:paraId="04DCBCFE" w14:textId="77777777" w:rsidR="00F12408" w:rsidRPr="00F12408" w:rsidRDefault="00F12408" w:rsidP="00F12408">
            <w:pPr>
              <w:rPr>
                <w:b/>
                <w:bCs/>
              </w:rPr>
            </w:pPr>
            <w:r w:rsidRPr="00F12408">
              <w:rPr>
                <w:b/>
                <w:bCs/>
              </w:rPr>
              <w:t>TOTAL</w:t>
            </w:r>
          </w:p>
        </w:tc>
        <w:tc>
          <w:tcPr>
            <w:tcW w:w="2084" w:type="dxa"/>
            <w:tcBorders>
              <w:top w:val="single" w:sz="4" w:space="0" w:color="auto"/>
              <w:left w:val="single" w:sz="8" w:space="0" w:color="auto"/>
              <w:bottom w:val="single" w:sz="12" w:space="0" w:color="auto"/>
              <w:right w:val="single" w:sz="8" w:space="0" w:color="auto"/>
            </w:tcBorders>
            <w:shd w:val="clear" w:color="auto" w:fill="004439"/>
            <w:noWrap/>
            <w:tcMar>
              <w:top w:w="0" w:type="dxa"/>
              <w:left w:w="108" w:type="dxa"/>
              <w:bottom w:w="0" w:type="dxa"/>
              <w:right w:w="108" w:type="dxa"/>
            </w:tcMar>
            <w:vAlign w:val="bottom"/>
            <w:hideMark/>
          </w:tcPr>
          <w:p w14:paraId="234B10CD" w14:textId="77777777" w:rsidR="00F12408" w:rsidRPr="00F12408" w:rsidRDefault="00F12408" w:rsidP="00180257">
            <w:pPr>
              <w:spacing w:before="240"/>
              <w:jc w:val="right"/>
              <w:rPr>
                <w:b/>
                <w:bCs/>
              </w:rPr>
            </w:pPr>
            <w:r w:rsidRPr="00F12408">
              <w:rPr>
                <w:b/>
                <w:bCs/>
              </w:rPr>
              <w:t>$7,628,000,000</w:t>
            </w:r>
          </w:p>
        </w:tc>
        <w:tc>
          <w:tcPr>
            <w:tcW w:w="1718" w:type="dxa"/>
            <w:tcBorders>
              <w:top w:val="single" w:sz="4" w:space="0" w:color="auto"/>
              <w:left w:val="nil"/>
              <w:bottom w:val="single" w:sz="12" w:space="0" w:color="auto"/>
              <w:right w:val="nil"/>
            </w:tcBorders>
            <w:shd w:val="clear" w:color="auto" w:fill="004439"/>
            <w:noWrap/>
            <w:tcMar>
              <w:top w:w="0" w:type="dxa"/>
              <w:left w:w="108" w:type="dxa"/>
              <w:bottom w:w="0" w:type="dxa"/>
              <w:right w:w="108" w:type="dxa"/>
            </w:tcMar>
            <w:vAlign w:val="bottom"/>
            <w:hideMark/>
          </w:tcPr>
          <w:p w14:paraId="11D0489D" w14:textId="77777777" w:rsidR="00F12408" w:rsidRPr="00F12408" w:rsidRDefault="00F12408" w:rsidP="00180257">
            <w:pPr>
              <w:jc w:val="right"/>
              <w:rPr>
                <w:b/>
                <w:bCs/>
              </w:rPr>
            </w:pPr>
            <w:r w:rsidRPr="00F12408">
              <w:rPr>
                <w:b/>
                <w:bCs/>
              </w:rPr>
              <w:t>2,790,322</w:t>
            </w:r>
          </w:p>
        </w:tc>
        <w:tc>
          <w:tcPr>
            <w:tcW w:w="2115" w:type="dxa"/>
            <w:tcBorders>
              <w:top w:val="single" w:sz="4" w:space="0" w:color="auto"/>
              <w:left w:val="single" w:sz="8" w:space="0" w:color="auto"/>
              <w:bottom w:val="single" w:sz="12" w:space="0" w:color="auto"/>
              <w:right w:val="single" w:sz="12" w:space="0" w:color="auto"/>
            </w:tcBorders>
            <w:shd w:val="clear" w:color="auto" w:fill="004439"/>
            <w:noWrap/>
            <w:tcMar>
              <w:top w:w="0" w:type="dxa"/>
              <w:left w:w="108" w:type="dxa"/>
              <w:bottom w:w="0" w:type="dxa"/>
              <w:right w:w="108" w:type="dxa"/>
            </w:tcMar>
            <w:vAlign w:val="bottom"/>
            <w:hideMark/>
          </w:tcPr>
          <w:p w14:paraId="7E7E7517" w14:textId="77777777" w:rsidR="00F12408" w:rsidRPr="00F12408" w:rsidRDefault="00F12408" w:rsidP="00180257">
            <w:pPr>
              <w:jc w:val="right"/>
              <w:rPr>
                <w:b/>
                <w:bCs/>
              </w:rPr>
            </w:pPr>
            <w:r w:rsidRPr="00F12408">
              <w:rPr>
                <w:b/>
                <w:bCs/>
              </w:rPr>
              <w:t xml:space="preserve">$168,179,461 </w:t>
            </w:r>
          </w:p>
        </w:tc>
        <w:tc>
          <w:tcPr>
            <w:tcW w:w="2020" w:type="dxa"/>
            <w:tcBorders>
              <w:top w:val="single" w:sz="4" w:space="0" w:color="auto"/>
              <w:left w:val="nil"/>
              <w:bottom w:val="single" w:sz="12" w:space="0" w:color="auto"/>
              <w:right w:val="single" w:sz="12" w:space="0" w:color="auto"/>
            </w:tcBorders>
            <w:shd w:val="clear" w:color="auto" w:fill="004439"/>
            <w:noWrap/>
            <w:tcMar>
              <w:top w:w="0" w:type="dxa"/>
              <w:left w:w="108" w:type="dxa"/>
              <w:bottom w:w="0" w:type="dxa"/>
              <w:right w:w="108" w:type="dxa"/>
            </w:tcMar>
            <w:vAlign w:val="bottom"/>
            <w:hideMark/>
          </w:tcPr>
          <w:p w14:paraId="545EED30" w14:textId="77777777" w:rsidR="00F12408" w:rsidRPr="00F12408" w:rsidRDefault="00F12408" w:rsidP="00F12408">
            <w:r w:rsidRPr="00F12408">
              <w:t> </w:t>
            </w:r>
          </w:p>
        </w:tc>
      </w:tr>
      <w:tr w:rsidR="00F12408" w:rsidRPr="00F12408" w14:paraId="4B585EFB" w14:textId="77777777" w:rsidTr="00180257">
        <w:trPr>
          <w:trHeight w:val="402"/>
        </w:trPr>
        <w:tc>
          <w:tcPr>
            <w:tcW w:w="1982" w:type="dxa"/>
            <w:tcBorders>
              <w:top w:val="nil"/>
              <w:left w:val="single" w:sz="12" w:space="0" w:color="auto"/>
              <w:bottom w:val="single" w:sz="12" w:space="0" w:color="auto"/>
              <w:right w:val="nil"/>
            </w:tcBorders>
            <w:shd w:val="clear" w:color="auto" w:fill="C1AE8D"/>
            <w:noWrap/>
            <w:tcMar>
              <w:top w:w="0" w:type="dxa"/>
              <w:left w:w="108" w:type="dxa"/>
              <w:bottom w:w="0" w:type="dxa"/>
              <w:right w:w="108" w:type="dxa"/>
            </w:tcMar>
            <w:vAlign w:val="bottom"/>
            <w:hideMark/>
          </w:tcPr>
          <w:p w14:paraId="1387F230" w14:textId="77777777" w:rsidR="00F12408" w:rsidRPr="00F12408" w:rsidRDefault="00F12408" w:rsidP="00F12408">
            <w:r w:rsidRPr="00F12408">
              <w:t>57 Counties</w:t>
            </w:r>
          </w:p>
        </w:tc>
        <w:tc>
          <w:tcPr>
            <w:tcW w:w="2084" w:type="dxa"/>
            <w:tcBorders>
              <w:top w:val="nil"/>
              <w:left w:val="single" w:sz="8" w:space="0" w:color="auto"/>
              <w:bottom w:val="single" w:sz="12" w:space="0" w:color="auto"/>
              <w:right w:val="single" w:sz="8" w:space="0" w:color="auto"/>
            </w:tcBorders>
            <w:shd w:val="clear" w:color="auto" w:fill="C1AE8D"/>
            <w:noWrap/>
            <w:tcMar>
              <w:top w:w="0" w:type="dxa"/>
              <w:left w:w="108" w:type="dxa"/>
              <w:bottom w:w="0" w:type="dxa"/>
              <w:right w:w="108" w:type="dxa"/>
            </w:tcMar>
            <w:vAlign w:val="bottom"/>
            <w:hideMark/>
          </w:tcPr>
          <w:p w14:paraId="6162E7F0" w14:textId="77777777" w:rsidR="00F12408" w:rsidRPr="00F12408" w:rsidRDefault="00F12408" w:rsidP="00180257">
            <w:pPr>
              <w:spacing w:before="240"/>
              <w:jc w:val="right"/>
            </w:pPr>
            <w:r w:rsidRPr="00F12408">
              <w:t xml:space="preserve">$2,680,742,293 </w:t>
            </w:r>
          </w:p>
        </w:tc>
        <w:tc>
          <w:tcPr>
            <w:tcW w:w="1718" w:type="dxa"/>
            <w:tcBorders>
              <w:top w:val="nil"/>
              <w:left w:val="nil"/>
              <w:bottom w:val="single" w:sz="12" w:space="0" w:color="auto"/>
              <w:right w:val="nil"/>
            </w:tcBorders>
            <w:shd w:val="clear" w:color="auto" w:fill="C1AE8D"/>
            <w:noWrap/>
            <w:tcMar>
              <w:top w:w="0" w:type="dxa"/>
              <w:left w:w="108" w:type="dxa"/>
              <w:bottom w:w="0" w:type="dxa"/>
              <w:right w:w="108" w:type="dxa"/>
            </w:tcMar>
            <w:vAlign w:val="bottom"/>
            <w:hideMark/>
          </w:tcPr>
          <w:p w14:paraId="2A68CD7D" w14:textId="77777777" w:rsidR="00F12408" w:rsidRPr="00F12408" w:rsidRDefault="00F12408" w:rsidP="00180257">
            <w:pPr>
              <w:jc w:val="right"/>
            </w:pPr>
            <w:r w:rsidRPr="00F12408">
              <w:t xml:space="preserve">1,088,831 </w:t>
            </w:r>
          </w:p>
        </w:tc>
        <w:tc>
          <w:tcPr>
            <w:tcW w:w="2115" w:type="dxa"/>
            <w:tcBorders>
              <w:top w:val="nil"/>
              <w:left w:val="single" w:sz="8" w:space="0" w:color="auto"/>
              <w:bottom w:val="single" w:sz="12" w:space="0" w:color="auto"/>
              <w:right w:val="single" w:sz="12" w:space="0" w:color="auto"/>
            </w:tcBorders>
            <w:shd w:val="clear" w:color="auto" w:fill="C1AE8D"/>
            <w:noWrap/>
            <w:tcMar>
              <w:top w:w="0" w:type="dxa"/>
              <w:left w:w="108" w:type="dxa"/>
              <w:bottom w:w="0" w:type="dxa"/>
              <w:right w:w="108" w:type="dxa"/>
            </w:tcMar>
            <w:vAlign w:val="bottom"/>
            <w:hideMark/>
          </w:tcPr>
          <w:p w14:paraId="119FEC16" w14:textId="77777777" w:rsidR="00F12408" w:rsidRPr="00F12408" w:rsidRDefault="00F12408" w:rsidP="00180257">
            <w:pPr>
              <w:jc w:val="right"/>
            </w:pPr>
            <w:r w:rsidRPr="00F12408">
              <w:t xml:space="preserve">$57,385,254 </w:t>
            </w:r>
          </w:p>
        </w:tc>
        <w:tc>
          <w:tcPr>
            <w:tcW w:w="2020" w:type="dxa"/>
            <w:tcBorders>
              <w:top w:val="nil"/>
              <w:left w:val="nil"/>
              <w:bottom w:val="single" w:sz="12" w:space="0" w:color="auto"/>
              <w:right w:val="single" w:sz="12" w:space="0" w:color="auto"/>
            </w:tcBorders>
            <w:shd w:val="clear" w:color="auto" w:fill="C1AE8D"/>
            <w:noWrap/>
            <w:tcMar>
              <w:top w:w="0" w:type="dxa"/>
              <w:left w:w="108" w:type="dxa"/>
              <w:bottom w:w="0" w:type="dxa"/>
              <w:right w:w="108" w:type="dxa"/>
            </w:tcMar>
            <w:vAlign w:val="bottom"/>
            <w:hideMark/>
          </w:tcPr>
          <w:p w14:paraId="3F30B9E5" w14:textId="77777777" w:rsidR="00F12408" w:rsidRPr="00F12408" w:rsidRDefault="00F12408" w:rsidP="00F12408">
            <w:r w:rsidRPr="00F12408">
              <w:t> </w:t>
            </w:r>
          </w:p>
        </w:tc>
      </w:tr>
    </w:tbl>
    <w:p w14:paraId="1840A664" w14:textId="77777777" w:rsidR="00F12408" w:rsidRPr="00F12408" w:rsidRDefault="00F12408" w:rsidP="00F12408"/>
    <w:p w14:paraId="4EFCD46B" w14:textId="1972A632" w:rsidR="00CD0EA3" w:rsidRPr="00CD0EA3" w:rsidRDefault="00CD0EA3" w:rsidP="005D713A">
      <w:pPr>
        <w:pStyle w:val="Heading1"/>
      </w:pPr>
      <w:r w:rsidRPr="00CD0EA3">
        <w:t>Expanded Work Requirements</w:t>
      </w:r>
    </w:p>
    <w:p w14:paraId="546DF6E5" w14:textId="652CCF21" w:rsidR="00CD0EA3" w:rsidRPr="00CD0EA3" w:rsidRDefault="008D5F7A" w:rsidP="00CD0EA3">
      <w:r>
        <w:t xml:space="preserve">In addition to the new costs, </w:t>
      </w:r>
      <w:r w:rsidR="00CD0EA3" w:rsidRPr="00CD0EA3">
        <w:t>H.R. 1 expands SNAP work requirements for Able-Bodied Adults Without Dependents, known as ABAWDs. Under the new rules, more adults must work, train, volunteer, or participate in qualifying activities for at least 80 hours per month to maintain benefits. The law expands the affected age range through age 64, applies the rules to some adults living with older children, removes prior exemptions for veterans, people experiencing homelessness, and former foster youth, and limits most state waiver flexibility to areas with unemployment rates above 10%.</w:t>
      </w:r>
    </w:p>
    <w:p w14:paraId="19A589DB" w14:textId="77777777" w:rsidR="00CD0EA3" w:rsidRPr="00CD0EA3" w:rsidRDefault="00CD0EA3" w:rsidP="00CD0EA3">
      <w:r w:rsidRPr="00CD0EA3">
        <w:t xml:space="preserve">The expanded requirements will increase casework across local districts. County DSS staff must identify affected recipients, explain compliance options, review exemptions, collect documentation, monitor monthly activity, and process changes. For residents with </w:t>
      </w:r>
      <w:r w:rsidRPr="00CD0EA3">
        <w:lastRenderedPageBreak/>
        <w:t>unstable work schedules, changing hours, seasonal employment, transportation barriers, or delayed employer paperwork, maintaining benefits may become harder even when they are trying to comply.</w:t>
      </w:r>
    </w:p>
    <w:p w14:paraId="7EA66827" w14:textId="77777777" w:rsidR="00CD0EA3" w:rsidRPr="00CD0EA3" w:rsidRDefault="00CD0EA3" w:rsidP="00CD0EA3">
      <w:r w:rsidRPr="00CD0EA3">
        <w:t>For counties, the new rules mean more tracking, more client contact, more verification, and more staff time. Counties are being asked to monitor more people, explain more rules, process more documentation, and preserve program integrity with less federal support.</w:t>
      </w:r>
    </w:p>
    <w:p w14:paraId="4CC8EE96" w14:textId="77777777" w:rsidR="008D5F7A" w:rsidRDefault="00CD0EA3" w:rsidP="005D713A">
      <w:pPr>
        <w:pStyle w:val="Heading1"/>
      </w:pPr>
      <w:r w:rsidRPr="00CD0EA3">
        <w:t xml:space="preserve">Payment Error Rates </w:t>
      </w:r>
      <w:r w:rsidR="008D5F7A">
        <w:t xml:space="preserve">Penalties Compound Risks </w:t>
      </w:r>
    </w:p>
    <w:p w14:paraId="1F569AFD" w14:textId="218ABE20" w:rsidR="00CD0EA3" w:rsidRPr="00CD0EA3" w:rsidRDefault="00CD0EA3" w:rsidP="00CD0EA3">
      <w:r w:rsidRPr="00CD0EA3">
        <w:t xml:space="preserve">H.R. 1 </w:t>
      </w:r>
      <w:r w:rsidR="008D5F7A">
        <w:t xml:space="preserve">also </w:t>
      </w:r>
      <w:r w:rsidRPr="00CD0EA3">
        <w:t>creates a new state-level cost-sharing requirement tied to SNAP payment error rates. Historically, the federal government paid the full cost of SNAP benefits, while states and, in New York, counties shared the cost of administration. Under the new law, states with payment error rates above 6% must pay a share of SNAP benefit costs. For states with error rates above 10%, that share can reach 15%.</w:t>
      </w:r>
    </w:p>
    <w:p w14:paraId="5884A749" w14:textId="77777777" w:rsidR="00CD0EA3" w:rsidRPr="00CD0EA3" w:rsidRDefault="00CD0EA3" w:rsidP="00CD0EA3">
      <w:r w:rsidRPr="00CD0EA3">
        <w:t>New York is already at risk. OTDA reported that New York’s FFY 2024 payment error rate was 14.09%, and its current 2025 payment error rate was 12.35% based on preliminary state sample data from October 2024 through February 2025. H.R. 1 makes the benefit cost shift effective October 1, 2027, though delayed implementation is available for states with especially high payment error rates.</w:t>
      </w:r>
    </w:p>
    <w:p w14:paraId="74129161" w14:textId="77777777" w:rsidR="00CD0EA3" w:rsidRPr="00CD0EA3" w:rsidRDefault="00CD0EA3" w:rsidP="00CD0EA3">
      <w:r w:rsidRPr="00CD0EA3">
        <w:t>New York’s unresolved question is whether the State will absorb that cost or shift some portion to counties and New York City. NYSAC estimates the state-level exposure at $1.1 billion annually beginning as early as Fall 2027, with county impact dependent on whether the State shifts any portion of that cost to counties and New York City. Combined with the administrative cost shift, SNAP-related costs are projected to exceed $1.3 billion annually for counties and New York City, with the 57 counties outside New York City facing nearly $460 million in new annual SNAP costs alone.</w:t>
      </w:r>
    </w:p>
    <w:p w14:paraId="07602BBB" w14:textId="77777777" w:rsidR="00CD0EA3" w:rsidRPr="00CD0EA3" w:rsidRDefault="00CD0EA3" w:rsidP="00CD0EA3">
      <w:r w:rsidRPr="00CD0EA3">
        <w:t xml:space="preserve">Payment errors should not be </w:t>
      </w:r>
      <w:proofErr w:type="gramStart"/>
      <w:r w:rsidRPr="00CD0EA3">
        <w:t>confused</w:t>
      </w:r>
      <w:proofErr w:type="gramEnd"/>
      <w:r w:rsidRPr="00CD0EA3">
        <w:t xml:space="preserve"> with fraud. New York’s payment error rate is based on a small monthly sample of cases reviewed for issues such as household composition, income, utility allowance calculations, and other eligibility factors. Because the sample is limited, individual counties do not receive reliable county-specific error rates.</w:t>
      </w:r>
    </w:p>
    <w:p w14:paraId="0F7A5138" w14:textId="77777777" w:rsidR="00CD0EA3" w:rsidRDefault="00CD0EA3" w:rsidP="00CD0EA3">
      <w:r w:rsidRPr="00CD0EA3">
        <w:t xml:space="preserve">Many errors stem from wages, salaries, and missing reports. Those issues often reflect changing jobs, changing hours, delayed paperwork, inconsistent schedules, and difficulty documenting income in a timely way. Counties support program integrity, but accuracy requires trained staff, reliable systems, clear guidance, and enough workers to meet </w:t>
      </w:r>
      <w:proofErr w:type="gramStart"/>
      <w:r w:rsidRPr="00CD0EA3">
        <w:t>the new</w:t>
      </w:r>
      <w:proofErr w:type="gramEnd"/>
      <w:r w:rsidRPr="00CD0EA3">
        <w:t xml:space="preserve"> expectations.</w:t>
      </w:r>
    </w:p>
    <w:p w14:paraId="5C2B9DD7" w14:textId="77777777" w:rsidR="00180257" w:rsidRPr="00CD0EA3" w:rsidRDefault="00180257" w:rsidP="00CD0EA3"/>
    <w:p w14:paraId="0FF6A28F" w14:textId="75ACAA34" w:rsidR="008D5F7A" w:rsidRPr="008D5F7A" w:rsidRDefault="5234B644" w:rsidP="005D713A">
      <w:pPr>
        <w:pStyle w:val="Heading1"/>
      </w:pPr>
      <w:r w:rsidRPr="1680E31D">
        <w:lastRenderedPageBreak/>
        <w:t>Recommendations</w:t>
      </w:r>
    </w:p>
    <w:p w14:paraId="09DEB221" w14:textId="36B91501" w:rsidR="45D6721C" w:rsidRPr="005D713A" w:rsidRDefault="45D6721C" w:rsidP="01350455">
      <w:pPr>
        <w:rPr>
          <w:b/>
          <w:bCs/>
        </w:rPr>
      </w:pPr>
      <w:r w:rsidRPr="00180257">
        <w:rPr>
          <w:b/>
          <w:bCs/>
          <w:color w:val="8C754D"/>
        </w:rPr>
        <w:t xml:space="preserve">NYSAC and our member counties are urging the New York congressional delegation to </w:t>
      </w:r>
      <w:r w:rsidRPr="005D713A">
        <w:rPr>
          <w:rFonts w:eastAsia="Georgia" w:cs="Georgia"/>
          <w:color w:val="000000" w:themeColor="text1"/>
        </w:rPr>
        <w:t xml:space="preserve">introduce </w:t>
      </w:r>
      <w:proofErr w:type="gramStart"/>
      <w:r w:rsidRPr="005D713A">
        <w:rPr>
          <w:rFonts w:eastAsia="Georgia" w:cs="Georgia"/>
          <w:color w:val="000000" w:themeColor="text1"/>
        </w:rPr>
        <w:t>or</w:t>
      </w:r>
      <w:proofErr w:type="gramEnd"/>
      <w:r w:rsidRPr="005D713A">
        <w:rPr>
          <w:rFonts w:eastAsia="Georgia" w:cs="Georgia"/>
          <w:color w:val="000000" w:themeColor="text1"/>
        </w:rPr>
        <w:t xml:space="preserve"> co-sponsor legislation that will delay, by two years, the SNAP administrative cost-sharing formula enacted in H.R. 1. </w:t>
      </w:r>
    </w:p>
    <w:p w14:paraId="59845277" w14:textId="5652E818" w:rsidR="32A13CF2" w:rsidRPr="005D713A" w:rsidRDefault="32A13CF2" w:rsidP="01350455">
      <w:pPr>
        <w:rPr>
          <w:b/>
          <w:bCs/>
        </w:rPr>
      </w:pPr>
      <w:r w:rsidRPr="005D713A">
        <w:rPr>
          <w:rFonts w:eastAsia="Georgia" w:cs="Georgia"/>
          <w:color w:val="000000" w:themeColor="text1"/>
        </w:rPr>
        <w:t>Because counties bear the state’s share of these costs under existing state law, this federal cost shift lands directly on county budgets—and, ultimately, on property taxpayers.</w:t>
      </w:r>
    </w:p>
    <w:p w14:paraId="5BEBA107" w14:textId="3DD0BE23" w:rsidR="687BB6C8" w:rsidRPr="005D713A" w:rsidRDefault="687BB6C8" w:rsidP="01350455">
      <w:r w:rsidRPr="005D713A">
        <w:rPr>
          <w:rFonts w:eastAsia="Georgia" w:cs="Georgia"/>
          <w:color w:val="000000" w:themeColor="text1"/>
        </w:rPr>
        <w:t>Congress can address this with a targeted, two-year delay to the new cost-sharing formula. The statutory change is simple:</w:t>
      </w:r>
    </w:p>
    <w:p w14:paraId="76F17974" w14:textId="0AA765F0" w:rsidR="687BB6C8" w:rsidRPr="007C492E" w:rsidRDefault="687BB6C8" w:rsidP="007C492E">
      <w:pPr>
        <w:ind w:left="720"/>
        <w:rPr>
          <w:rFonts w:eastAsia="Georgia" w:cs="Georgia"/>
          <w:b/>
          <w:bCs/>
          <w:i/>
          <w:iCs/>
          <w:color w:val="000000" w:themeColor="text1"/>
        </w:rPr>
      </w:pPr>
      <w:r w:rsidRPr="007C492E">
        <w:rPr>
          <w:rFonts w:eastAsia="Georgia" w:cs="Georgia"/>
          <w:b/>
          <w:bCs/>
          <w:i/>
          <w:iCs/>
          <w:color w:val="000000" w:themeColor="text1"/>
        </w:rPr>
        <w:t xml:space="preserve">Section 16(a) of the Food and Nutrition Act of 2008 (7 U.S.C. 2025(a)) is amended by striking “through fiscal year 2026, 50 percent, and for fiscal year 2027” and inserting “through fiscal year 2028, 50 percent, and for fiscal year </w:t>
      </w:r>
      <w:r w:rsidRPr="007C492E">
        <w:rPr>
          <w:b/>
          <w:bCs/>
        </w:rPr>
        <w:tab/>
      </w:r>
      <w:r w:rsidRPr="007C492E">
        <w:rPr>
          <w:rFonts w:eastAsia="Georgia" w:cs="Georgia"/>
          <w:b/>
          <w:bCs/>
          <w:i/>
          <w:iCs/>
          <w:color w:val="000000" w:themeColor="text1"/>
        </w:rPr>
        <w:t>2029.”</w:t>
      </w:r>
    </w:p>
    <w:p w14:paraId="2104BC1E" w14:textId="7AF9107C" w:rsidR="687BB6C8" w:rsidRPr="005D713A" w:rsidRDefault="687BB6C8" w:rsidP="01350455">
      <w:r w:rsidRPr="005D713A">
        <w:rPr>
          <w:rFonts w:eastAsia="Georgia" w:cs="Georgia"/>
          <w:color w:val="000000" w:themeColor="text1"/>
        </w:rPr>
        <w:t>This is not a repeal of the cost-sharing reform. It is a reasonable bridge that gives counties the runway to implement these changes correctly, protecting both the integrity of the program and the fiscal stability of local governments.</w:t>
      </w:r>
    </w:p>
    <w:p w14:paraId="4217DB33" w14:textId="5A2A545B" w:rsidR="687BB6C8" w:rsidRDefault="687BB6C8" w:rsidP="01350455">
      <w:pPr>
        <w:rPr>
          <w:rFonts w:eastAsia="Georgia" w:cs="Georgia"/>
          <w:color w:val="000000" w:themeColor="text1"/>
        </w:rPr>
      </w:pPr>
      <w:r w:rsidRPr="005D713A">
        <w:rPr>
          <w:rFonts w:eastAsia="Georgia" w:cs="Georgia"/>
          <w:color w:val="000000" w:themeColor="text1"/>
        </w:rPr>
        <w:t xml:space="preserve">NYSAC member counties are committed to administering SNAP with integrity and accountability. We are simply asking for this delay so that we have the time to do it right. </w:t>
      </w:r>
    </w:p>
    <w:p w14:paraId="0D594CDD" w14:textId="50FD0440" w:rsidR="001217C2" w:rsidRDefault="00B06A09" w:rsidP="01350455">
      <w:pPr>
        <w:rPr>
          <w:rFonts w:eastAsia="Georgia" w:cs="Georgia"/>
          <w:color w:val="000000" w:themeColor="text1"/>
        </w:rPr>
      </w:pPr>
      <w:r>
        <w:rPr>
          <w:rFonts w:eastAsia="Georgia" w:cs="Georgia"/>
          <w:noProof/>
          <w:color w:val="000000" w:themeColor="text1"/>
        </w:rPr>
        <w:drawing>
          <wp:anchor distT="0" distB="0" distL="114300" distR="114300" simplePos="0" relativeHeight="251658241" behindDoc="1" locked="0" layoutInCell="1" allowOverlap="1" wp14:anchorId="0F71CD92" wp14:editId="277E8F4C">
            <wp:simplePos x="0" y="0"/>
            <wp:positionH relativeFrom="column">
              <wp:posOffset>99060</wp:posOffset>
            </wp:positionH>
            <wp:positionV relativeFrom="page">
              <wp:posOffset>5212080</wp:posOffset>
            </wp:positionV>
            <wp:extent cx="1424940" cy="1424940"/>
            <wp:effectExtent l="0" t="0" r="7620" b="7620"/>
            <wp:wrapNone/>
            <wp:docPr id="10025525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EE3071" w14:textId="4FDC4983" w:rsidR="001217C2" w:rsidRPr="000B31E2" w:rsidRDefault="00804C19" w:rsidP="01350455">
      <w:pPr>
        <w:rPr>
          <w:rFonts w:ascii="Montserrat" w:hAnsi="Montserrat"/>
          <w:b/>
          <w:bCs/>
        </w:rPr>
      </w:pPr>
      <w:r>
        <w:tab/>
      </w:r>
      <w:r>
        <w:tab/>
      </w:r>
      <w:r>
        <w:tab/>
      </w:r>
      <w:r>
        <w:tab/>
      </w:r>
      <w:r w:rsidRPr="000B31E2">
        <w:rPr>
          <w:rFonts w:ascii="Montserrat" w:hAnsi="Montserrat"/>
          <w:b/>
          <w:bCs/>
        </w:rPr>
        <w:t xml:space="preserve">New York State Association of Counties </w:t>
      </w:r>
    </w:p>
    <w:p w14:paraId="0F2964AC" w14:textId="1AB3D8E1" w:rsidR="00B06A09" w:rsidRPr="000B31E2" w:rsidRDefault="00B06A09" w:rsidP="01350455">
      <w:pPr>
        <w:rPr>
          <w:rFonts w:ascii="Montserrat" w:hAnsi="Montserrat"/>
          <w:b/>
          <w:bCs/>
        </w:rPr>
      </w:pPr>
      <w:r>
        <w:tab/>
      </w:r>
      <w:r>
        <w:tab/>
      </w:r>
      <w:r>
        <w:tab/>
      </w:r>
      <w:r>
        <w:tab/>
      </w:r>
      <w:hyperlink r:id="rId12" w:history="1">
        <w:r w:rsidR="000B31E2" w:rsidRPr="000B31E2">
          <w:rPr>
            <w:rStyle w:val="Hyperlink"/>
            <w:rFonts w:ascii="Montserrat" w:hAnsi="Montserrat"/>
            <w:b/>
            <w:bCs/>
            <w:color w:val="004439"/>
          </w:rPr>
          <w:t>www.NYSAC.org</w:t>
        </w:r>
      </w:hyperlink>
    </w:p>
    <w:p w14:paraId="67B34620" w14:textId="36973870" w:rsidR="00804C19" w:rsidRPr="000B31E2" w:rsidRDefault="00804C19" w:rsidP="01350455">
      <w:pPr>
        <w:rPr>
          <w:rFonts w:ascii="Montserrat" w:hAnsi="Montserrat"/>
          <w:b/>
          <w:bCs/>
        </w:rPr>
      </w:pPr>
      <w:r w:rsidRPr="000B31E2">
        <w:rPr>
          <w:rFonts w:ascii="Montserrat" w:hAnsi="Montserrat"/>
          <w:b/>
          <w:bCs/>
        </w:rPr>
        <w:tab/>
      </w:r>
      <w:r w:rsidRPr="000B31E2">
        <w:rPr>
          <w:rFonts w:ascii="Montserrat" w:hAnsi="Montserrat"/>
          <w:b/>
          <w:bCs/>
        </w:rPr>
        <w:tab/>
      </w:r>
      <w:r w:rsidRPr="000B31E2">
        <w:rPr>
          <w:rFonts w:ascii="Montserrat" w:hAnsi="Montserrat"/>
          <w:b/>
          <w:bCs/>
        </w:rPr>
        <w:tab/>
      </w:r>
      <w:r w:rsidRPr="000B31E2">
        <w:rPr>
          <w:rFonts w:ascii="Montserrat" w:hAnsi="Montserrat"/>
          <w:b/>
          <w:bCs/>
        </w:rPr>
        <w:tab/>
      </w:r>
      <w:hyperlink r:id="rId13" w:history="1">
        <w:r w:rsidRPr="000B31E2">
          <w:rPr>
            <w:rStyle w:val="Hyperlink"/>
            <w:rFonts w:ascii="Montserrat" w:hAnsi="Montserrat"/>
            <w:b/>
            <w:bCs/>
            <w:color w:val="004439"/>
          </w:rPr>
          <w:t>info@nysac.org</w:t>
        </w:r>
      </w:hyperlink>
    </w:p>
    <w:p w14:paraId="654A06A9" w14:textId="6DD412CA" w:rsidR="00804C19" w:rsidRPr="000B31E2" w:rsidRDefault="00804C19" w:rsidP="01350455">
      <w:pPr>
        <w:rPr>
          <w:rFonts w:ascii="Montserrat" w:hAnsi="Montserrat"/>
          <w:b/>
          <w:bCs/>
        </w:rPr>
      </w:pPr>
      <w:r w:rsidRPr="000B31E2">
        <w:rPr>
          <w:rFonts w:ascii="Montserrat" w:hAnsi="Montserrat"/>
          <w:b/>
          <w:bCs/>
        </w:rPr>
        <w:tab/>
      </w:r>
      <w:r w:rsidRPr="000B31E2">
        <w:rPr>
          <w:rFonts w:ascii="Montserrat" w:hAnsi="Montserrat"/>
          <w:b/>
          <w:bCs/>
        </w:rPr>
        <w:tab/>
      </w:r>
      <w:r w:rsidRPr="000B31E2">
        <w:rPr>
          <w:rFonts w:ascii="Montserrat" w:hAnsi="Montserrat"/>
          <w:b/>
          <w:bCs/>
        </w:rPr>
        <w:tab/>
      </w:r>
      <w:r w:rsidRPr="000B31E2">
        <w:rPr>
          <w:rFonts w:ascii="Montserrat" w:hAnsi="Montserrat"/>
          <w:b/>
          <w:bCs/>
        </w:rPr>
        <w:tab/>
      </w:r>
      <w:r w:rsidR="00B06A09" w:rsidRPr="000B31E2">
        <w:rPr>
          <w:rFonts w:ascii="Montserrat" w:hAnsi="Montserrat"/>
          <w:b/>
          <w:bCs/>
        </w:rPr>
        <w:t>(518) 465-1473</w:t>
      </w:r>
    </w:p>
    <w:sectPr w:rsidR="00804C19" w:rsidRPr="000B31E2" w:rsidSect="001217C2">
      <w:footerReference w:type="default" r:id="rId14"/>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62081" w14:textId="77777777" w:rsidR="005E331A" w:rsidRDefault="005E331A">
      <w:pPr>
        <w:spacing w:after="0" w:line="240" w:lineRule="auto"/>
      </w:pPr>
      <w:r>
        <w:separator/>
      </w:r>
    </w:p>
  </w:endnote>
  <w:endnote w:type="continuationSeparator" w:id="0">
    <w:p w14:paraId="04E4C95C" w14:textId="77777777" w:rsidR="005E331A" w:rsidRDefault="005E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ExtraBold">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802276"/>
      <w:docPartObj>
        <w:docPartGallery w:val="Page Numbers (Bottom of Page)"/>
        <w:docPartUnique/>
      </w:docPartObj>
    </w:sdtPr>
    <w:sdtEndPr>
      <w:rPr>
        <w:rFonts w:ascii="Montserrat ExtraBold" w:hAnsi="Montserrat ExtraBold"/>
        <w:noProof/>
      </w:rPr>
    </w:sdtEndPr>
    <w:sdtContent>
      <w:p w14:paraId="0B782538" w14:textId="57BC2CCE" w:rsidR="00A57571" w:rsidRPr="001217C2" w:rsidRDefault="001217C2" w:rsidP="001217C2">
        <w:pPr>
          <w:pStyle w:val="Footer"/>
          <w:rPr>
            <w:rFonts w:ascii="Montserrat ExtraBold" w:hAnsi="Montserrat ExtraBold"/>
          </w:rPr>
        </w:pPr>
        <w:r>
          <w:rPr>
            <w:rFonts w:ascii="Montserrat" w:hAnsi="Montserrat"/>
          </w:rPr>
          <w:t xml:space="preserve">NYS </w:t>
        </w:r>
        <w:r w:rsidR="00A57571" w:rsidRPr="001217C2">
          <w:rPr>
            <w:rFonts w:ascii="Montserrat" w:hAnsi="Montserrat"/>
          </w:rPr>
          <w:t>Association of Counties</w:t>
        </w:r>
        <w:r w:rsidRPr="001217C2">
          <w:rPr>
            <w:rFonts w:ascii="Montserrat" w:hAnsi="Montserrat"/>
          </w:rPr>
          <w:t xml:space="preserve">    </w:t>
        </w:r>
        <w:r>
          <w:rPr>
            <w:rFonts w:ascii="Montserrat" w:hAnsi="Montserrat"/>
          </w:rPr>
          <w:t xml:space="preserve">                        </w:t>
        </w:r>
        <w:r w:rsidR="00CF3E61" w:rsidRPr="001217C2">
          <w:rPr>
            <w:rFonts w:ascii="Montserrat" w:hAnsi="Montserrat"/>
          </w:rPr>
          <w:t xml:space="preserve">June 2026     </w:t>
        </w:r>
        <w:r w:rsidRPr="001217C2">
          <w:rPr>
            <w:rFonts w:ascii="Montserrat" w:hAnsi="Montserrat"/>
          </w:rPr>
          <w:t xml:space="preserve"> </w:t>
        </w:r>
        <w:r>
          <w:rPr>
            <w:rFonts w:ascii="Montserrat" w:hAnsi="Montserrat"/>
          </w:rPr>
          <w:t xml:space="preserve">   </w:t>
        </w:r>
        <w:r w:rsidRPr="001217C2">
          <w:rPr>
            <w:rFonts w:ascii="Montserrat" w:hAnsi="Montserrat"/>
          </w:rPr>
          <w:t xml:space="preserve">         </w:t>
        </w:r>
        <w:r>
          <w:rPr>
            <w:rFonts w:ascii="Montserrat" w:hAnsi="Montserrat"/>
          </w:rPr>
          <w:t xml:space="preserve">                    </w:t>
        </w:r>
        <w:r w:rsidRPr="001217C2">
          <w:rPr>
            <w:rFonts w:ascii="Montserrat" w:hAnsi="Montserrat"/>
          </w:rPr>
          <w:t xml:space="preserve">      </w:t>
        </w:r>
        <w:r w:rsidR="00A57571" w:rsidRPr="001217C2">
          <w:rPr>
            <w:rFonts w:ascii="Montserrat ExtraBold" w:hAnsi="Montserrat ExtraBold"/>
          </w:rPr>
          <w:fldChar w:fldCharType="begin"/>
        </w:r>
        <w:r w:rsidR="00A57571" w:rsidRPr="001217C2">
          <w:rPr>
            <w:rFonts w:ascii="Montserrat ExtraBold" w:hAnsi="Montserrat ExtraBold"/>
          </w:rPr>
          <w:instrText xml:space="preserve"> PAGE   \* MERGEFORMAT </w:instrText>
        </w:r>
        <w:r w:rsidR="00A57571" w:rsidRPr="001217C2">
          <w:rPr>
            <w:rFonts w:ascii="Montserrat ExtraBold" w:hAnsi="Montserrat ExtraBold"/>
          </w:rPr>
          <w:fldChar w:fldCharType="separate"/>
        </w:r>
        <w:r w:rsidR="00A57571" w:rsidRPr="001217C2">
          <w:rPr>
            <w:rFonts w:ascii="Montserrat ExtraBold" w:hAnsi="Montserrat ExtraBold"/>
            <w:noProof/>
          </w:rPr>
          <w:t>2</w:t>
        </w:r>
        <w:r w:rsidR="00A57571" w:rsidRPr="001217C2">
          <w:rPr>
            <w:rFonts w:ascii="Montserrat ExtraBold" w:hAnsi="Montserrat ExtraBold"/>
            <w:noProof/>
          </w:rPr>
          <w:fldChar w:fldCharType="end"/>
        </w:r>
      </w:p>
    </w:sdtContent>
  </w:sdt>
  <w:p w14:paraId="5F5A954A" w14:textId="56AB7A1A" w:rsidR="0041215C" w:rsidRDefault="00412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7EA20" w14:textId="77777777" w:rsidR="005E331A" w:rsidRDefault="005E331A">
      <w:pPr>
        <w:spacing w:after="0" w:line="240" w:lineRule="auto"/>
      </w:pPr>
      <w:r>
        <w:separator/>
      </w:r>
    </w:p>
  </w:footnote>
  <w:footnote w:type="continuationSeparator" w:id="0">
    <w:p w14:paraId="04D5F482" w14:textId="77777777" w:rsidR="005E331A" w:rsidRDefault="005E33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B26"/>
    <w:rsid w:val="0000237C"/>
    <w:rsid w:val="00006600"/>
    <w:rsid w:val="00007AC4"/>
    <w:rsid w:val="0004C0E3"/>
    <w:rsid w:val="000513B2"/>
    <w:rsid w:val="00054CF0"/>
    <w:rsid w:val="00056624"/>
    <w:rsid w:val="000A6D59"/>
    <w:rsid w:val="000B31E2"/>
    <w:rsid w:val="000E40CF"/>
    <w:rsid w:val="000F1610"/>
    <w:rsid w:val="000F4B07"/>
    <w:rsid w:val="001172C9"/>
    <w:rsid w:val="001217C2"/>
    <w:rsid w:val="00127355"/>
    <w:rsid w:val="001441E9"/>
    <w:rsid w:val="00153CCF"/>
    <w:rsid w:val="00166B2A"/>
    <w:rsid w:val="00175F7D"/>
    <w:rsid w:val="00180257"/>
    <w:rsid w:val="001908BD"/>
    <w:rsid w:val="001A7DD9"/>
    <w:rsid w:val="001C398B"/>
    <w:rsid w:val="001C3C06"/>
    <w:rsid w:val="001D3B68"/>
    <w:rsid w:val="001F705B"/>
    <w:rsid w:val="00202280"/>
    <w:rsid w:val="00207FCF"/>
    <w:rsid w:val="00214823"/>
    <w:rsid w:val="0021497B"/>
    <w:rsid w:val="00222BC4"/>
    <w:rsid w:val="00230F81"/>
    <w:rsid w:val="00231C35"/>
    <w:rsid w:val="00234B26"/>
    <w:rsid w:val="00263863"/>
    <w:rsid w:val="002771ED"/>
    <w:rsid w:val="00294AD7"/>
    <w:rsid w:val="00294FA8"/>
    <w:rsid w:val="00296792"/>
    <w:rsid w:val="002A5EAA"/>
    <w:rsid w:val="002C06DF"/>
    <w:rsid w:val="00301085"/>
    <w:rsid w:val="00304246"/>
    <w:rsid w:val="00305109"/>
    <w:rsid w:val="003200CC"/>
    <w:rsid w:val="00320A72"/>
    <w:rsid w:val="00322221"/>
    <w:rsid w:val="003224A0"/>
    <w:rsid w:val="003236E5"/>
    <w:rsid w:val="003439F3"/>
    <w:rsid w:val="003467AC"/>
    <w:rsid w:val="00354405"/>
    <w:rsid w:val="00357F48"/>
    <w:rsid w:val="00385D9E"/>
    <w:rsid w:val="00393F2B"/>
    <w:rsid w:val="003A226E"/>
    <w:rsid w:val="003E2A95"/>
    <w:rsid w:val="00403591"/>
    <w:rsid w:val="0041215C"/>
    <w:rsid w:val="0041672C"/>
    <w:rsid w:val="00416C5B"/>
    <w:rsid w:val="00443F67"/>
    <w:rsid w:val="00447B4F"/>
    <w:rsid w:val="004500A8"/>
    <w:rsid w:val="0045386D"/>
    <w:rsid w:val="00461947"/>
    <w:rsid w:val="00466EEA"/>
    <w:rsid w:val="00473575"/>
    <w:rsid w:val="00480C2C"/>
    <w:rsid w:val="00486B51"/>
    <w:rsid w:val="004C3261"/>
    <w:rsid w:val="004D2DB7"/>
    <w:rsid w:val="004D4534"/>
    <w:rsid w:val="004D6B94"/>
    <w:rsid w:val="004D7922"/>
    <w:rsid w:val="004E2ABF"/>
    <w:rsid w:val="004F455E"/>
    <w:rsid w:val="00504F33"/>
    <w:rsid w:val="00513539"/>
    <w:rsid w:val="005218B4"/>
    <w:rsid w:val="00523B38"/>
    <w:rsid w:val="00533565"/>
    <w:rsid w:val="005804DD"/>
    <w:rsid w:val="0058097B"/>
    <w:rsid w:val="005925B0"/>
    <w:rsid w:val="00595B26"/>
    <w:rsid w:val="005D5AD7"/>
    <w:rsid w:val="005D713A"/>
    <w:rsid w:val="005E331A"/>
    <w:rsid w:val="005F134C"/>
    <w:rsid w:val="005F4C2F"/>
    <w:rsid w:val="005F7BE3"/>
    <w:rsid w:val="00601EAB"/>
    <w:rsid w:val="006103D7"/>
    <w:rsid w:val="006169AE"/>
    <w:rsid w:val="00631132"/>
    <w:rsid w:val="00633ECD"/>
    <w:rsid w:val="006405F5"/>
    <w:rsid w:val="0064450D"/>
    <w:rsid w:val="00644AFC"/>
    <w:rsid w:val="00655C01"/>
    <w:rsid w:val="0068446D"/>
    <w:rsid w:val="0069012E"/>
    <w:rsid w:val="00691687"/>
    <w:rsid w:val="00693AC0"/>
    <w:rsid w:val="006A1854"/>
    <w:rsid w:val="006A25DF"/>
    <w:rsid w:val="006A6584"/>
    <w:rsid w:val="006E029D"/>
    <w:rsid w:val="00721D5E"/>
    <w:rsid w:val="00724558"/>
    <w:rsid w:val="007306E8"/>
    <w:rsid w:val="00735367"/>
    <w:rsid w:val="00742021"/>
    <w:rsid w:val="00752211"/>
    <w:rsid w:val="0076272D"/>
    <w:rsid w:val="00763A41"/>
    <w:rsid w:val="00772E16"/>
    <w:rsid w:val="0077506F"/>
    <w:rsid w:val="00785EF0"/>
    <w:rsid w:val="0079144A"/>
    <w:rsid w:val="007A6865"/>
    <w:rsid w:val="007A6B99"/>
    <w:rsid w:val="007B1519"/>
    <w:rsid w:val="007C492E"/>
    <w:rsid w:val="007D6ED7"/>
    <w:rsid w:val="007E7881"/>
    <w:rsid w:val="00803478"/>
    <w:rsid w:val="00803923"/>
    <w:rsid w:val="00804C19"/>
    <w:rsid w:val="0081155C"/>
    <w:rsid w:val="0081599A"/>
    <w:rsid w:val="00815C5F"/>
    <w:rsid w:val="008161A3"/>
    <w:rsid w:val="008339F1"/>
    <w:rsid w:val="00837928"/>
    <w:rsid w:val="00852EB3"/>
    <w:rsid w:val="0085418D"/>
    <w:rsid w:val="0086033E"/>
    <w:rsid w:val="00861773"/>
    <w:rsid w:val="00863612"/>
    <w:rsid w:val="00864049"/>
    <w:rsid w:val="00866F7A"/>
    <w:rsid w:val="0087196A"/>
    <w:rsid w:val="00873F82"/>
    <w:rsid w:val="008802E4"/>
    <w:rsid w:val="00893C5C"/>
    <w:rsid w:val="00894A80"/>
    <w:rsid w:val="008954E6"/>
    <w:rsid w:val="008C14C6"/>
    <w:rsid w:val="008D5F7A"/>
    <w:rsid w:val="008E2D24"/>
    <w:rsid w:val="00913EC9"/>
    <w:rsid w:val="00930A9F"/>
    <w:rsid w:val="0097099A"/>
    <w:rsid w:val="009866D9"/>
    <w:rsid w:val="009A2302"/>
    <w:rsid w:val="009A3598"/>
    <w:rsid w:val="009B0333"/>
    <w:rsid w:val="009B48D5"/>
    <w:rsid w:val="009C2E49"/>
    <w:rsid w:val="009D68FE"/>
    <w:rsid w:val="009D7232"/>
    <w:rsid w:val="009E54BB"/>
    <w:rsid w:val="00A03D7D"/>
    <w:rsid w:val="00A22354"/>
    <w:rsid w:val="00A30E40"/>
    <w:rsid w:val="00A314FC"/>
    <w:rsid w:val="00A45417"/>
    <w:rsid w:val="00A4627C"/>
    <w:rsid w:val="00A57571"/>
    <w:rsid w:val="00A61F58"/>
    <w:rsid w:val="00A62E69"/>
    <w:rsid w:val="00A7746B"/>
    <w:rsid w:val="00A90319"/>
    <w:rsid w:val="00AA715E"/>
    <w:rsid w:val="00AB5F9E"/>
    <w:rsid w:val="00AC39C0"/>
    <w:rsid w:val="00AC4202"/>
    <w:rsid w:val="00AC61F3"/>
    <w:rsid w:val="00AC751F"/>
    <w:rsid w:val="00AC78B5"/>
    <w:rsid w:val="00AF6153"/>
    <w:rsid w:val="00B0435C"/>
    <w:rsid w:val="00B06A09"/>
    <w:rsid w:val="00B30FDB"/>
    <w:rsid w:val="00B4028E"/>
    <w:rsid w:val="00B507E8"/>
    <w:rsid w:val="00B54159"/>
    <w:rsid w:val="00B55F78"/>
    <w:rsid w:val="00B82592"/>
    <w:rsid w:val="00B83B2B"/>
    <w:rsid w:val="00BA294B"/>
    <w:rsid w:val="00BB2376"/>
    <w:rsid w:val="00BD06EC"/>
    <w:rsid w:val="00BD4570"/>
    <w:rsid w:val="00BD7141"/>
    <w:rsid w:val="00BD7CBD"/>
    <w:rsid w:val="00C05FD4"/>
    <w:rsid w:val="00C15C1F"/>
    <w:rsid w:val="00C25B12"/>
    <w:rsid w:val="00C62063"/>
    <w:rsid w:val="00C6249B"/>
    <w:rsid w:val="00C6426F"/>
    <w:rsid w:val="00C67649"/>
    <w:rsid w:val="00C77D42"/>
    <w:rsid w:val="00C845D1"/>
    <w:rsid w:val="00C92BA5"/>
    <w:rsid w:val="00C95CFE"/>
    <w:rsid w:val="00CB102A"/>
    <w:rsid w:val="00CB3859"/>
    <w:rsid w:val="00CB5EE4"/>
    <w:rsid w:val="00CC1E12"/>
    <w:rsid w:val="00CC23BB"/>
    <w:rsid w:val="00CC2A41"/>
    <w:rsid w:val="00CD0EA3"/>
    <w:rsid w:val="00CD2632"/>
    <w:rsid w:val="00CD3556"/>
    <w:rsid w:val="00CD4C9A"/>
    <w:rsid w:val="00CF3E61"/>
    <w:rsid w:val="00CF540B"/>
    <w:rsid w:val="00D20073"/>
    <w:rsid w:val="00D20BC5"/>
    <w:rsid w:val="00D36FEB"/>
    <w:rsid w:val="00D53A8D"/>
    <w:rsid w:val="00D62F7E"/>
    <w:rsid w:val="00D71161"/>
    <w:rsid w:val="00D85C51"/>
    <w:rsid w:val="00DB3D08"/>
    <w:rsid w:val="00DD6F53"/>
    <w:rsid w:val="00DE2AE7"/>
    <w:rsid w:val="00DF3FD6"/>
    <w:rsid w:val="00E15ACD"/>
    <w:rsid w:val="00E2556C"/>
    <w:rsid w:val="00E26203"/>
    <w:rsid w:val="00E31852"/>
    <w:rsid w:val="00E4540B"/>
    <w:rsid w:val="00E45BED"/>
    <w:rsid w:val="00E71CD3"/>
    <w:rsid w:val="00E85A61"/>
    <w:rsid w:val="00EA1E28"/>
    <w:rsid w:val="00EA5D18"/>
    <w:rsid w:val="00EC1010"/>
    <w:rsid w:val="00EC6330"/>
    <w:rsid w:val="00ED467E"/>
    <w:rsid w:val="00EE033A"/>
    <w:rsid w:val="00EE7D17"/>
    <w:rsid w:val="00EE7EE6"/>
    <w:rsid w:val="00EF0026"/>
    <w:rsid w:val="00F12408"/>
    <w:rsid w:val="00F133A6"/>
    <w:rsid w:val="00F16131"/>
    <w:rsid w:val="00F20C01"/>
    <w:rsid w:val="00F2360E"/>
    <w:rsid w:val="00F66953"/>
    <w:rsid w:val="00F949EB"/>
    <w:rsid w:val="00F955A3"/>
    <w:rsid w:val="00FB5815"/>
    <w:rsid w:val="00FC67E9"/>
    <w:rsid w:val="00FE2303"/>
    <w:rsid w:val="00FE3052"/>
    <w:rsid w:val="00FF74FD"/>
    <w:rsid w:val="0125A530"/>
    <w:rsid w:val="01350455"/>
    <w:rsid w:val="0213883C"/>
    <w:rsid w:val="022DB870"/>
    <w:rsid w:val="03BA04DA"/>
    <w:rsid w:val="03D65E7D"/>
    <w:rsid w:val="05BDB5DE"/>
    <w:rsid w:val="067E22C6"/>
    <w:rsid w:val="0772F374"/>
    <w:rsid w:val="0A5267C9"/>
    <w:rsid w:val="0B3FD66E"/>
    <w:rsid w:val="0B67FF3B"/>
    <w:rsid w:val="0C3C376A"/>
    <w:rsid w:val="0CFB5969"/>
    <w:rsid w:val="0D40AF4D"/>
    <w:rsid w:val="0EA6F395"/>
    <w:rsid w:val="0FD7DAC1"/>
    <w:rsid w:val="10B985DB"/>
    <w:rsid w:val="10C8E4B6"/>
    <w:rsid w:val="10E5CDF0"/>
    <w:rsid w:val="112D038E"/>
    <w:rsid w:val="134EC586"/>
    <w:rsid w:val="14025A9E"/>
    <w:rsid w:val="14237792"/>
    <w:rsid w:val="1680E31D"/>
    <w:rsid w:val="16A83323"/>
    <w:rsid w:val="16EAB8B3"/>
    <w:rsid w:val="1781488B"/>
    <w:rsid w:val="17CD6E19"/>
    <w:rsid w:val="17EE2772"/>
    <w:rsid w:val="1A652452"/>
    <w:rsid w:val="1B73BEB4"/>
    <w:rsid w:val="1B8DA304"/>
    <w:rsid w:val="1BD54995"/>
    <w:rsid w:val="1C5DA102"/>
    <w:rsid w:val="1C6B78E9"/>
    <w:rsid w:val="1DF3D9F1"/>
    <w:rsid w:val="1ED7A66E"/>
    <w:rsid w:val="1EF95128"/>
    <w:rsid w:val="23F40453"/>
    <w:rsid w:val="25F8D71D"/>
    <w:rsid w:val="26B7DC83"/>
    <w:rsid w:val="297B3373"/>
    <w:rsid w:val="2AC960B7"/>
    <w:rsid w:val="2AFEA19B"/>
    <w:rsid w:val="2C5A90A4"/>
    <w:rsid w:val="2D36A121"/>
    <w:rsid w:val="2D6A105A"/>
    <w:rsid w:val="2E799E98"/>
    <w:rsid w:val="2EFA013B"/>
    <w:rsid w:val="302374BF"/>
    <w:rsid w:val="30364B30"/>
    <w:rsid w:val="30647C46"/>
    <w:rsid w:val="32A13CF2"/>
    <w:rsid w:val="32DF9D4F"/>
    <w:rsid w:val="33509B9A"/>
    <w:rsid w:val="3513CA21"/>
    <w:rsid w:val="37417E2C"/>
    <w:rsid w:val="3755376B"/>
    <w:rsid w:val="38BAB0C4"/>
    <w:rsid w:val="3AFE4B8D"/>
    <w:rsid w:val="3B5E935B"/>
    <w:rsid w:val="3B6A4159"/>
    <w:rsid w:val="3CEA5402"/>
    <w:rsid w:val="3CF3D727"/>
    <w:rsid w:val="3E0ECEC2"/>
    <w:rsid w:val="40567725"/>
    <w:rsid w:val="424C6835"/>
    <w:rsid w:val="43B59711"/>
    <w:rsid w:val="43B95C00"/>
    <w:rsid w:val="43F7F8B7"/>
    <w:rsid w:val="45D6721C"/>
    <w:rsid w:val="466FF213"/>
    <w:rsid w:val="471FB3A2"/>
    <w:rsid w:val="48476C6E"/>
    <w:rsid w:val="49D01C82"/>
    <w:rsid w:val="4AFFA7DB"/>
    <w:rsid w:val="4B661E75"/>
    <w:rsid w:val="4BC248CB"/>
    <w:rsid w:val="4BD9893F"/>
    <w:rsid w:val="4C57A859"/>
    <w:rsid w:val="4C7355BD"/>
    <w:rsid w:val="4DB18502"/>
    <w:rsid w:val="4E111149"/>
    <w:rsid w:val="501030CE"/>
    <w:rsid w:val="50187C7D"/>
    <w:rsid w:val="5234B644"/>
    <w:rsid w:val="5350D19E"/>
    <w:rsid w:val="535D1C6F"/>
    <w:rsid w:val="539BAD4E"/>
    <w:rsid w:val="53B963CF"/>
    <w:rsid w:val="549A5BAD"/>
    <w:rsid w:val="54F3A51A"/>
    <w:rsid w:val="54F9A2BC"/>
    <w:rsid w:val="55F0337D"/>
    <w:rsid w:val="569820AD"/>
    <w:rsid w:val="5AD14E7D"/>
    <w:rsid w:val="5B6CF67A"/>
    <w:rsid w:val="5BAE9DA0"/>
    <w:rsid w:val="5C20729D"/>
    <w:rsid w:val="5C307A26"/>
    <w:rsid w:val="5CF9D831"/>
    <w:rsid w:val="5FEBBB52"/>
    <w:rsid w:val="600AA6D6"/>
    <w:rsid w:val="610335F2"/>
    <w:rsid w:val="611E5A2F"/>
    <w:rsid w:val="61710709"/>
    <w:rsid w:val="62992D1D"/>
    <w:rsid w:val="63238C3D"/>
    <w:rsid w:val="6382EE2C"/>
    <w:rsid w:val="6437498E"/>
    <w:rsid w:val="6490B0B1"/>
    <w:rsid w:val="64C20B8E"/>
    <w:rsid w:val="64FCDDCF"/>
    <w:rsid w:val="64FEB152"/>
    <w:rsid w:val="652CCE32"/>
    <w:rsid w:val="65530D78"/>
    <w:rsid w:val="65D0B1F9"/>
    <w:rsid w:val="6617C7BA"/>
    <w:rsid w:val="674683D5"/>
    <w:rsid w:val="67A9E53E"/>
    <w:rsid w:val="67F231D6"/>
    <w:rsid w:val="687BB6C8"/>
    <w:rsid w:val="69D0B468"/>
    <w:rsid w:val="6B8CC153"/>
    <w:rsid w:val="6B9574A1"/>
    <w:rsid w:val="6BC36279"/>
    <w:rsid w:val="6C07C05E"/>
    <w:rsid w:val="6FD9CD7E"/>
    <w:rsid w:val="6FDCEF23"/>
    <w:rsid w:val="6FE42D42"/>
    <w:rsid w:val="7081E975"/>
    <w:rsid w:val="7120FB44"/>
    <w:rsid w:val="721269BF"/>
    <w:rsid w:val="72889E2E"/>
    <w:rsid w:val="743D1C54"/>
    <w:rsid w:val="75240FDE"/>
    <w:rsid w:val="75655D2D"/>
    <w:rsid w:val="77A87797"/>
    <w:rsid w:val="77B3A318"/>
    <w:rsid w:val="77DD0BD6"/>
    <w:rsid w:val="789E1FBF"/>
    <w:rsid w:val="796469F7"/>
    <w:rsid w:val="7A3B422F"/>
    <w:rsid w:val="7AA952B7"/>
    <w:rsid w:val="7C15FCF4"/>
    <w:rsid w:val="7CF0712D"/>
    <w:rsid w:val="7D7BC910"/>
    <w:rsid w:val="7E13F34B"/>
    <w:rsid w:val="7EE9423B"/>
    <w:rsid w:val="7F086974"/>
    <w:rsid w:val="7F137CF0"/>
    <w:rsid w:val="7F7E9380"/>
    <w:rsid w:val="7FDF7A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556D6"/>
  <w15:chartTrackingRefBased/>
  <w15:docId w15:val="{6254418E-66C3-40AB-915B-DC399F9D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052"/>
    <w:pPr>
      <w:outlineLvl w:val="0"/>
    </w:pPr>
    <w:rPr>
      <w:rFonts w:ascii="Montserrat ExtraBold" w:hAnsi="Montserrat ExtraBold"/>
      <w:b/>
      <w:bCs/>
      <w:color w:val="004439"/>
    </w:rPr>
  </w:style>
  <w:style w:type="paragraph" w:styleId="Heading2">
    <w:name w:val="heading 2"/>
    <w:basedOn w:val="Normal"/>
    <w:next w:val="Normal"/>
    <w:link w:val="Heading2Char"/>
    <w:uiPriority w:val="9"/>
    <w:semiHidden/>
    <w:unhideWhenUsed/>
    <w:qFormat/>
    <w:rsid w:val="00595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052"/>
    <w:rPr>
      <w:rFonts w:ascii="Montserrat ExtraBold" w:hAnsi="Montserrat ExtraBold"/>
      <w:b/>
      <w:bCs/>
      <w:color w:val="004439"/>
    </w:rPr>
  </w:style>
  <w:style w:type="character" w:customStyle="1" w:styleId="Heading2Char">
    <w:name w:val="Heading 2 Char"/>
    <w:basedOn w:val="DefaultParagraphFont"/>
    <w:link w:val="Heading2"/>
    <w:uiPriority w:val="9"/>
    <w:semiHidden/>
    <w:rsid w:val="00595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B26"/>
    <w:rPr>
      <w:rFonts w:eastAsiaTheme="majorEastAsia" w:cstheme="majorBidi"/>
      <w:color w:val="272727" w:themeColor="text1" w:themeTint="D8"/>
    </w:rPr>
  </w:style>
  <w:style w:type="paragraph" w:styleId="Title">
    <w:name w:val="Title"/>
    <w:basedOn w:val="Normal"/>
    <w:next w:val="Normal"/>
    <w:link w:val="TitleChar"/>
    <w:uiPriority w:val="10"/>
    <w:qFormat/>
    <w:rsid w:val="00595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B26"/>
    <w:pPr>
      <w:spacing w:before="160"/>
      <w:jc w:val="center"/>
    </w:pPr>
    <w:rPr>
      <w:i/>
      <w:iCs/>
      <w:color w:val="404040" w:themeColor="text1" w:themeTint="BF"/>
    </w:rPr>
  </w:style>
  <w:style w:type="character" w:customStyle="1" w:styleId="QuoteChar">
    <w:name w:val="Quote Char"/>
    <w:basedOn w:val="DefaultParagraphFont"/>
    <w:link w:val="Quote"/>
    <w:uiPriority w:val="29"/>
    <w:rsid w:val="00595B26"/>
    <w:rPr>
      <w:i/>
      <w:iCs/>
      <w:color w:val="404040" w:themeColor="text1" w:themeTint="BF"/>
    </w:rPr>
  </w:style>
  <w:style w:type="paragraph" w:styleId="ListParagraph">
    <w:name w:val="List Paragraph"/>
    <w:basedOn w:val="Normal"/>
    <w:uiPriority w:val="34"/>
    <w:qFormat/>
    <w:rsid w:val="00595B26"/>
    <w:pPr>
      <w:ind w:left="720"/>
      <w:contextualSpacing/>
    </w:pPr>
  </w:style>
  <w:style w:type="character" w:styleId="IntenseEmphasis">
    <w:name w:val="Intense Emphasis"/>
    <w:basedOn w:val="DefaultParagraphFont"/>
    <w:uiPriority w:val="21"/>
    <w:qFormat/>
    <w:rsid w:val="00595B26"/>
    <w:rPr>
      <w:i/>
      <w:iCs/>
      <w:color w:val="0F4761" w:themeColor="accent1" w:themeShade="BF"/>
    </w:rPr>
  </w:style>
  <w:style w:type="paragraph" w:styleId="IntenseQuote">
    <w:name w:val="Intense Quote"/>
    <w:basedOn w:val="Normal"/>
    <w:next w:val="Normal"/>
    <w:link w:val="IntenseQuoteChar"/>
    <w:uiPriority w:val="30"/>
    <w:qFormat/>
    <w:rsid w:val="00595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B26"/>
    <w:rPr>
      <w:i/>
      <w:iCs/>
      <w:color w:val="0F4761" w:themeColor="accent1" w:themeShade="BF"/>
    </w:rPr>
  </w:style>
  <w:style w:type="character" w:styleId="IntenseReference">
    <w:name w:val="Intense Reference"/>
    <w:basedOn w:val="DefaultParagraphFont"/>
    <w:uiPriority w:val="32"/>
    <w:qFormat/>
    <w:rsid w:val="00595B26"/>
    <w:rPr>
      <w:b/>
      <w:bCs/>
      <w:smallCaps/>
      <w:color w:val="0F4761" w:themeColor="accent1" w:themeShade="BF"/>
      <w:spacing w:val="5"/>
    </w:rPr>
  </w:style>
  <w:style w:type="character" w:styleId="Hyperlink">
    <w:name w:val="Hyperlink"/>
    <w:basedOn w:val="DefaultParagraphFont"/>
    <w:uiPriority w:val="99"/>
    <w:unhideWhenUsed/>
    <w:rsid w:val="00721D5E"/>
    <w:rPr>
      <w:color w:val="467886" w:themeColor="hyperlink"/>
      <w:u w:val="single"/>
    </w:rPr>
  </w:style>
  <w:style w:type="character" w:styleId="UnresolvedMention">
    <w:name w:val="Unresolved Mention"/>
    <w:basedOn w:val="DefaultParagraphFont"/>
    <w:uiPriority w:val="99"/>
    <w:semiHidden/>
    <w:unhideWhenUsed/>
    <w:rsid w:val="00721D5E"/>
    <w:rPr>
      <w:color w:val="605E5C"/>
      <w:shd w:val="clear" w:color="auto" w:fill="E1DFDD"/>
    </w:rPr>
  </w:style>
  <w:style w:type="paragraph" w:styleId="EndnoteText">
    <w:name w:val="endnote text"/>
    <w:basedOn w:val="Normal"/>
    <w:uiPriority w:val="99"/>
    <w:semiHidden/>
    <w:unhideWhenUsed/>
    <w:rsid w:val="0B3FD66E"/>
    <w:pPr>
      <w:spacing w:after="0" w:line="240" w:lineRule="auto"/>
    </w:pPr>
    <w:rPr>
      <w:sz w:val="20"/>
      <w:szCs w:val="20"/>
    </w:rPr>
  </w:style>
  <w:style w:type="character" w:styleId="EndnoteReference">
    <w:name w:val="endnote reference"/>
    <w:basedOn w:val="DefaultParagraphFont"/>
    <w:uiPriority w:val="99"/>
    <w:semiHidden/>
    <w:unhideWhenUsed/>
    <w:rsid w:val="0B3FD66E"/>
    <w:rPr>
      <w:vertAlign w:val="superscript"/>
    </w:rPr>
  </w:style>
  <w:style w:type="paragraph" w:styleId="Header">
    <w:name w:val="header"/>
    <w:basedOn w:val="Normal"/>
    <w:link w:val="HeaderChar"/>
    <w:uiPriority w:val="99"/>
    <w:unhideWhenUsed/>
    <w:rsid w:val="00C92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BA5"/>
  </w:style>
  <w:style w:type="paragraph" w:styleId="Footer">
    <w:name w:val="footer"/>
    <w:basedOn w:val="Normal"/>
    <w:link w:val="FooterChar"/>
    <w:uiPriority w:val="99"/>
    <w:unhideWhenUsed/>
    <w:rsid w:val="00C92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nysac.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YSA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3BE74B102EA43BA0BB1E0C0191FB8" ma:contentTypeVersion="23" ma:contentTypeDescription="Create a new document." ma:contentTypeScope="" ma:versionID="9aa6924978b173805b4a395dca3c5298">
  <xsd:schema xmlns:xsd="http://www.w3.org/2001/XMLSchema" xmlns:xs="http://www.w3.org/2001/XMLSchema" xmlns:p="http://schemas.microsoft.com/office/2006/metadata/properties" xmlns:ns2="79783198-97de-4b63-b95c-f81240da1f9e" xmlns:ns3="9aa28f77-8e6a-4205-b136-7f5aedc56865" xmlns:ns4="3ebdbbc2-fc9d-468a-925e-c66d3788ab44" targetNamespace="http://schemas.microsoft.com/office/2006/metadata/properties" ma:root="true" ma:fieldsID="bf56527032d410ff6802b83ecc3a165f" ns2:_="" ns3:_="" ns4:_="">
    <xsd:import namespace="79783198-97de-4b63-b95c-f81240da1f9e"/>
    <xsd:import namespace="9aa28f77-8e6a-4205-b136-7f5aedc56865"/>
    <xsd:import namespace="3ebdbbc2-fc9d-468a-925e-c66d3788ab44"/>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ReviewedBy_x003a_" minOccurs="0"/>
                <xsd:element ref="ns4:_Flow_SignoffStatus" minOccurs="0"/>
                <xsd:element ref="ns4:lcf76f155ced4ddcb4097134ff3c332f" minOccurs="0"/>
                <xsd:element ref="ns3:TaxCatchAll" minOccurs="0"/>
                <xsd:element ref="ns4:MediaServiceObjectDetectorVersions" minOccurs="0"/>
                <xsd:element ref="ns4:MediaServiceSearchProperties" minOccurs="0"/>
                <xsd:element ref="ns4:Include" minOccurs="0"/>
                <xsd:element ref="ns4:IncludeinFi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83198-97de-4b63-b95c-f81240da1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a28f77-8e6a-4205-b136-7f5aedc56865"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21c95a26-720f-4b3d-ae52-aab5314f88b6}" ma:internalName="TaxCatchAll" ma:showField="CatchAllData" ma:web="9aa28f77-8e6a-4205-b136-7f5aedc568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bdbbc2-fc9d-468a-925e-c66d3788a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ReviewedBy_x003a_" ma:index="21" nillable="true" ma:displayName="Reviewed By:" ma:format="Dropdown" ma:internalName="ReviewedBy_x003a_">
      <xsd:complexType>
        <xsd:complexContent>
          <xsd:extension base="dms:MultiChoiceFillIn">
            <xsd:sequence>
              <xsd:element name="Value" maxOccurs="unbounded" minOccurs="0" nillable="true">
                <xsd:simpleType>
                  <xsd:union memberTypes="dms:Text">
                    <xsd:simpleType>
                      <xsd:restriction base="dms:Choice">
                        <xsd:enumeration value="SJA"/>
                        <xsd:enumeration value="ML"/>
                        <xsd:enumeration value="RG"/>
                        <xsd:enumeration value="TO"/>
                        <xsd:enumeration value="KP"/>
                        <xsd:enumeration value="DL"/>
                        <xsd:enumeration value="AL"/>
                        <xsd:enumeration value="PC"/>
                        <xsd:enumeration value="KC"/>
                        <xsd:enumeration value="JS"/>
                        <xsd:enumeration value="JM"/>
                        <xsd:enumeration value="PG"/>
                        <xsd:enumeration value="JD"/>
                        <xsd:enumeration value="KV"/>
                        <xsd:enumeration value="Choice 15"/>
                      </xsd:restriction>
                    </xsd:simpleType>
                  </xsd:union>
                </xsd:simple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c2d026c-acef-4268-863b-783988a4c0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Include" ma:index="28" nillable="true" ma:displayName="Include" ma:default="1" ma:format="Dropdown" ma:internalName="Include">
      <xsd:simpleType>
        <xsd:restriction base="dms:Boolean"/>
      </xsd:simpleType>
    </xsd:element>
    <xsd:element name="IncludeinFinal" ma:index="29" nillable="true" ma:displayName="Include in Final" ma:format="Dropdown" ma:internalName="IncludeinFinal">
      <xsd:simpleType>
        <xsd:restriction base="dms:Choice">
          <xsd:enumeration value="Choice 1"/>
          <xsd:enumeration value="Choice 2"/>
          <xsd:enumeration value="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a28f77-8e6a-4205-b136-7f5aedc56865" xsi:nil="true"/>
    <ReviewedBy_x003a_ xmlns="3ebdbbc2-fc9d-468a-925e-c66d3788ab44" xsi:nil="true"/>
    <_Flow_SignoffStatus xmlns="3ebdbbc2-fc9d-468a-925e-c66d3788ab44" xsi:nil="true"/>
    <lcf76f155ced4ddcb4097134ff3c332f xmlns="3ebdbbc2-fc9d-468a-925e-c66d3788ab44">
      <Terms xmlns="http://schemas.microsoft.com/office/infopath/2007/PartnerControls"/>
    </lcf76f155ced4ddcb4097134ff3c332f>
    <IncludeinFinal xmlns="3ebdbbc2-fc9d-468a-925e-c66d3788ab44" xsi:nil="true"/>
    <Include xmlns="3ebdbbc2-fc9d-468a-925e-c66d3788ab44">true</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A7FD6-96A6-48D5-AA78-673C19791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83198-97de-4b63-b95c-f81240da1f9e"/>
    <ds:schemaRef ds:uri="9aa28f77-8e6a-4205-b136-7f5aedc56865"/>
    <ds:schemaRef ds:uri="3ebdbbc2-fc9d-468a-925e-c66d3788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F869B-6BAB-4878-975E-1710C76502FB}">
  <ds:schemaRefs>
    <ds:schemaRef ds:uri="http://schemas.microsoft.com/office/2006/metadata/properties"/>
    <ds:schemaRef ds:uri="http://schemas.microsoft.com/office/infopath/2007/PartnerControls"/>
    <ds:schemaRef ds:uri="9aa28f77-8e6a-4205-b136-7f5aedc56865"/>
    <ds:schemaRef ds:uri="3ebdbbc2-fc9d-468a-925e-c66d3788ab44"/>
  </ds:schemaRefs>
</ds:datastoreItem>
</file>

<file path=customXml/itemProps3.xml><?xml version="1.0" encoding="utf-8"?>
<ds:datastoreItem xmlns:ds="http://schemas.openxmlformats.org/officeDocument/2006/customXml" ds:itemID="{EF15A072-2433-491A-8A74-B88BD4CC1EB6}">
  <ds:schemaRefs>
    <ds:schemaRef ds:uri="http://schemas.microsoft.com/sharepoint/v3/contenttype/forms"/>
  </ds:schemaRefs>
</ds:datastoreItem>
</file>

<file path=customXml/itemProps4.xml><?xml version="1.0" encoding="utf-8"?>
<ds:datastoreItem xmlns:ds="http://schemas.openxmlformats.org/officeDocument/2006/customXml" ds:itemID="{BFBBF8DF-4297-4A27-BFB0-832E2F95B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2164</Words>
  <Characters>12335</Characters>
  <Application>Microsoft Office Word</Application>
  <DocSecurity>0</DocSecurity>
  <Lines>102</Lines>
  <Paragraphs>28</Paragraphs>
  <ScaleCrop>false</ScaleCrop>
  <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Campney</dc:creator>
  <cp:keywords/>
  <dc:description/>
  <cp:lastModifiedBy>Adam Campney</cp:lastModifiedBy>
  <cp:revision>2</cp:revision>
  <cp:lastPrinted>2026-06-24T18:16:00Z</cp:lastPrinted>
  <dcterms:created xsi:type="dcterms:W3CDTF">2026-06-24T18:19:00Z</dcterms:created>
  <dcterms:modified xsi:type="dcterms:W3CDTF">2026-06-24T18:19:00Z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0x0101001ED3BE74B102EA43BA0BB1E0C0191FB8</vt:lpwstr>
  </property>
  <property fmtid="{D5CDD505-2E9C-101B-9397-08002B2CF9AE}" pid="3" name="MediaServiceImageTags">
    <vt:lpwstr/>
  </property>
</Properties>
</file>