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8C14" w14:textId="5FA5C0F0" w:rsidR="00BC50B6" w:rsidRPr="00BC50B6" w:rsidRDefault="00BC50B6" w:rsidP="00BC50B6">
      <w:pPr>
        <w:jc w:val="center"/>
        <w:rPr>
          <w:b/>
          <w:bCs/>
        </w:rPr>
      </w:pPr>
      <w:r w:rsidRPr="00BC50B6">
        <w:rPr>
          <w:b/>
          <w:bCs/>
        </w:rPr>
        <w:t>Resolution Urging the Governor and State Legislature to Address Rising Mandated Costs by Ensuring County Parity with Increased Municipal Aid</w:t>
      </w:r>
    </w:p>
    <w:p w14:paraId="3F5034E5" w14:textId="3BD11880" w:rsidR="00BC50B6" w:rsidRPr="00BC50B6" w:rsidRDefault="00BC50B6" w:rsidP="00BC50B6">
      <w:r w:rsidRPr="00BC50B6">
        <w:t> </w:t>
      </w:r>
      <w:r w:rsidRPr="00BC50B6">
        <w:rPr>
          <w:b/>
          <w:bCs/>
        </w:rPr>
        <w:t>WHEREAS</w:t>
      </w:r>
      <w:r w:rsidRPr="00BC50B6">
        <w:t>, New York’s 57 counties serve as the primary administrators of state and federally mandated programs—including Medicaid, child welfare, public safety, public health, election administration, and indigent legal defense—delivering services that reach every resident of the State; and </w:t>
      </w:r>
    </w:p>
    <w:p w14:paraId="33292081" w14:textId="6F481817" w:rsidR="00BC50B6" w:rsidRPr="00BC50B6" w:rsidRDefault="00BC50B6" w:rsidP="00BC50B6">
      <w:r w:rsidRPr="00BC50B6">
        <w:t> </w:t>
      </w:r>
      <w:r w:rsidRPr="00BC50B6">
        <w:rPr>
          <w:b/>
          <w:bCs/>
        </w:rPr>
        <w:t>WHEREAS</w:t>
      </w:r>
      <w:r w:rsidRPr="00BC50B6">
        <w:t>, counties fund these essential services in partnership with the state and federal government, yet exercise little control over the policies that drive their costs, leaving county property taxpayers as the payers of last resort when state or federal aid is reduced or fails to keep pace with program demands; and </w:t>
      </w:r>
    </w:p>
    <w:p w14:paraId="21243FC5" w14:textId="69F175FB" w:rsidR="00BC50B6" w:rsidRPr="00BC50B6" w:rsidRDefault="00BC50B6" w:rsidP="00BC50B6">
      <w:r w:rsidRPr="00BC50B6">
        <w:t> </w:t>
      </w:r>
      <w:r w:rsidRPr="00BC50B6">
        <w:rPr>
          <w:b/>
          <w:bCs/>
        </w:rPr>
        <w:t>WHEREAS</w:t>
      </w:r>
      <w:r w:rsidRPr="00BC50B6">
        <w:t>, the Aid and Incentives for Municipalities (AIM) program provides unrestricted general purpose aid to New York State’s cities (excluding New York City), towns, and villages—currently funded at $715.2 million annually—and has not included county governments as eligible recipients since 1990; and </w:t>
      </w:r>
    </w:p>
    <w:p w14:paraId="0B06B34E" w14:textId="5D043A06" w:rsidR="00BC50B6" w:rsidRPr="00BC50B6" w:rsidRDefault="00BC50B6" w:rsidP="00BC50B6">
      <w:r w:rsidRPr="00BC50B6">
        <w:t> </w:t>
      </w:r>
      <w:r w:rsidRPr="00BC50B6">
        <w:rPr>
          <w:b/>
          <w:bCs/>
        </w:rPr>
        <w:t>WHEREAS, </w:t>
      </w:r>
      <w:r w:rsidRPr="00BC50B6">
        <w:t>the Governor’s SFY 2026-27 Executive Budget proposed to maintain AIM at $715.2 million and continue $50 million in Temporary Municipal Assistance—both programs available exclusively to cities, towns, and villages—with no new unrestricted aid for counties; and </w:t>
      </w:r>
    </w:p>
    <w:p w14:paraId="476D44AF" w14:textId="44752473" w:rsidR="00BC50B6" w:rsidRPr="00BC50B6" w:rsidRDefault="00BC50B6" w:rsidP="00BC50B6">
      <w:r w:rsidRPr="00BC50B6">
        <w:t> </w:t>
      </w:r>
      <w:r w:rsidRPr="00BC50B6">
        <w:rPr>
          <w:b/>
          <w:bCs/>
        </w:rPr>
        <w:t>WHEREAS</w:t>
      </w:r>
      <w:r w:rsidRPr="00BC50B6">
        <w:t>, the Governor’s 30-day amendments to the SFY 2026-27 Executive Budget proposed an increase of $100 million in Temporary Municipal Assistance for cities, towns, and villages, and additional unrestricted aid to New York City—representing a significant new investment in other local government partners—while providing no equivalent relief for counties; and </w:t>
      </w:r>
    </w:p>
    <w:p w14:paraId="45F0BE32" w14:textId="77777777" w:rsidR="00BC50B6" w:rsidRPr="00BC50B6" w:rsidRDefault="00BC50B6" w:rsidP="00BC50B6">
      <w:r w:rsidRPr="00BC50B6">
        <w:rPr>
          <w:b/>
          <w:bCs/>
        </w:rPr>
        <w:t>WHEREAS</w:t>
      </w:r>
      <w:r w:rsidRPr="00BC50B6">
        <w:t>, the Senate one-house budget proposes $302 million per year in additional AIM funding for New York City over two fiscal years—a total of $604 million in new municipal assistance—without a corresponding increase in direct aid to counties; and </w:t>
      </w:r>
    </w:p>
    <w:p w14:paraId="615B808C" w14:textId="0632E7C0" w:rsidR="00BC50B6" w:rsidRPr="00BC50B6" w:rsidRDefault="00BC50B6" w:rsidP="00BC50B6">
      <w:r w:rsidRPr="00BC50B6">
        <w:t> </w:t>
      </w:r>
      <w:r w:rsidRPr="00BC50B6">
        <w:rPr>
          <w:b/>
          <w:bCs/>
        </w:rPr>
        <w:t>WHEREAS</w:t>
      </w:r>
      <w:r w:rsidRPr="00BC50B6">
        <w:t>, the Senate one-house budget further proposes $250,000 to establish an AIM Redesign Task Force charged with making recommendations on the expansion of AIM to New York City, with no comparable directive to examine or expand aid to county governments; and </w:t>
      </w:r>
    </w:p>
    <w:p w14:paraId="7D1B47D9" w14:textId="2E8AE1B6" w:rsidR="00BC50B6" w:rsidRPr="00BC50B6" w:rsidRDefault="00BC50B6" w:rsidP="00BC50B6">
      <w:r w:rsidRPr="00BC50B6">
        <w:rPr>
          <w:b/>
          <w:bCs/>
        </w:rPr>
        <w:t>WHEREAS</w:t>
      </w:r>
      <w:r w:rsidRPr="00BC50B6">
        <w:t>, the Assembly one-house budget proposes $1.5 billion in additional Temporary Municipal Assistance over three years—including $1 billion for New York City and $500 million for cities, towns, and villages—again with no parallel investment in county fiscal relief; and </w:t>
      </w:r>
    </w:p>
    <w:p w14:paraId="11764EAD" w14:textId="5DD831B1" w:rsidR="00BC50B6" w:rsidRPr="00BC50B6" w:rsidRDefault="00BC50B6" w:rsidP="00BC50B6">
      <w:r w:rsidRPr="00BC50B6">
        <w:rPr>
          <w:b/>
          <w:bCs/>
        </w:rPr>
        <w:t>WHEREAS</w:t>
      </w:r>
      <w:r w:rsidRPr="00BC50B6">
        <w:t>, increasing state investment in AIM and Temporary Municipal Assistance while counties receive no analogous unrestricted aid creates a growing disparity in the State’s partnership with its local government units; and </w:t>
      </w:r>
    </w:p>
    <w:p w14:paraId="76379ED8" w14:textId="1A9BCE98" w:rsidR="00BC50B6" w:rsidRPr="00BC50B6" w:rsidRDefault="00BC50B6" w:rsidP="00BC50B6">
      <w:r w:rsidRPr="00BC50B6">
        <w:rPr>
          <w:b/>
          <w:bCs/>
        </w:rPr>
        <w:t>WHEREAS</w:t>
      </w:r>
      <w:r w:rsidRPr="00BC50B6">
        <w:t>, counties are simultaneously absorbing significant and growing cost pressures that are largely outside their control, including: rising assigned counsel costs under County Law Article 18-B; escalating preschool special education expenditures; costs associated with CPL § 730 competency restoration confinements, which have increased by more than 6,000 percent in some counties between 2019 and 2024; and anticipated cost shifts resulting from federal policy changes to Medicaid and the Supplemental Nutrition Assistance Program (SNAP), which will increase county administrative costs beginning in October 2026; and </w:t>
      </w:r>
    </w:p>
    <w:p w14:paraId="7793DE00" w14:textId="1AF4F19A" w:rsidR="00BC50B6" w:rsidRPr="00BC50B6" w:rsidRDefault="00BC50B6" w:rsidP="00BC50B6">
      <w:r w:rsidRPr="00BC50B6">
        <w:rPr>
          <w:b/>
          <w:bCs/>
        </w:rPr>
        <w:t>WHEREAS</w:t>
      </w:r>
      <w:r w:rsidRPr="00BC50B6">
        <w:t>, the number of local governments in fiscal stress, as identified by the Office of the State Comptroller (OSC)’s Fiscal Stress Monitoring System, is rising, and a dozen counties exceeded the property tax cap in their 2026 budgets—the most in a decade; and </w:t>
      </w:r>
    </w:p>
    <w:p w14:paraId="0DC6FF77" w14:textId="5A8EE402" w:rsidR="00BC50B6" w:rsidRPr="00BC50B6" w:rsidRDefault="00BC50B6" w:rsidP="00BC50B6">
      <w:r w:rsidRPr="00BC50B6">
        <w:rPr>
          <w:b/>
          <w:bCs/>
        </w:rPr>
        <w:t>WHEREAS</w:t>
      </w:r>
      <w:r w:rsidRPr="00BC50B6">
        <w:t>, counties are constrained by the state-imposed property tax cap, limiting their ability to independently raise revenues to offset growing costs; and </w:t>
      </w:r>
    </w:p>
    <w:p w14:paraId="79FC0FE8" w14:textId="109DB774" w:rsidR="00BC50B6" w:rsidRPr="00BC50B6" w:rsidRDefault="00BC50B6" w:rsidP="00BC50B6">
      <w:r w:rsidRPr="00BC50B6">
        <w:rPr>
          <w:b/>
          <w:bCs/>
        </w:rPr>
        <w:t>WHEREAS</w:t>
      </w:r>
      <w:r w:rsidRPr="00BC50B6">
        <w:t xml:space="preserve">, </w:t>
      </w:r>
      <w:r>
        <w:t>the New York State Association of Counties (NYSAC)</w:t>
      </w:r>
      <w:r w:rsidRPr="00BC50B6">
        <w:t xml:space="preserve"> has called upon the Governor and Legislature to provide $100 million in targeted county fiscal relief in the enacted SFY 2026-27 budget, which could be structured through the County Infrastructure Grant Program, relief from assigned counsel costs, relief from preschool special education costs, or support for competency restoration expenses—representing a fraction of the new investment proposed for municipalities and New York City in the current budget cycle. </w:t>
      </w:r>
    </w:p>
    <w:p w14:paraId="1F02BF06" w14:textId="602A36C6" w:rsidR="00BC50B6" w:rsidRPr="00BC50B6" w:rsidRDefault="00BC50B6" w:rsidP="00BC50B6">
      <w:r w:rsidRPr="00BC50B6">
        <w:rPr>
          <w:b/>
          <w:bCs/>
        </w:rPr>
        <w:t>WHEREAS,</w:t>
      </w:r>
      <w:r w:rsidRPr="00BC50B6">
        <w:t> such relief can be structured in a manner that addresses the most pressing cost drivers facing counties, including but not limited to assigned counsel under Article 18-B, preschool special education, Safety Net, and CPL § 730 competency restoration, or through direct unrestricted aid; and </w:t>
      </w:r>
    </w:p>
    <w:p w14:paraId="5789CD16" w14:textId="10AB841F" w:rsidR="00BC50B6" w:rsidRPr="00BC50B6" w:rsidRDefault="00BC50B6" w:rsidP="00BC50B6">
      <w:r w:rsidRPr="00BC50B6">
        <w:rPr>
          <w:b/>
          <w:bCs/>
        </w:rPr>
        <w:t>NOW, THEREFORE, BE IT RESOLVED,</w:t>
      </w:r>
      <w:r w:rsidRPr="00BC50B6">
        <w:t xml:space="preserve"> that </w:t>
      </w:r>
      <w:r>
        <w:t>[County Name]</w:t>
      </w:r>
      <w:r w:rsidRPr="00BC50B6">
        <w:t xml:space="preserve"> urges the Governor and the Legislature to provide parity with the proposed increases for other municipalities through direct fiscal relief for county governments in the enacted SFY 2026-27 State Budget, commensurate with the significant new investments in municipalities proposed through the 30-day amendments and one-house budget resolutions; and </w:t>
      </w:r>
    </w:p>
    <w:p w14:paraId="424F2951" w14:textId="71550915" w:rsidR="00BC50B6" w:rsidRPr="00BC50B6" w:rsidRDefault="00BC50B6" w:rsidP="00BC50B6">
      <w:r w:rsidRPr="00BC50B6">
        <w:rPr>
          <w:b/>
          <w:bCs/>
        </w:rPr>
        <w:t>BE IT FURTHER RESOLVED, </w:t>
      </w:r>
      <w:r w:rsidRPr="00BC50B6">
        <w:t>that copies of this resolution be sent to the counties of New York State</w:t>
      </w:r>
      <w:r>
        <w:t xml:space="preserve"> </w:t>
      </w:r>
      <w:r w:rsidRPr="00BC50B6">
        <w:t>encouraging member counties to enact similar resolutions; and  </w:t>
      </w:r>
    </w:p>
    <w:p w14:paraId="71F0D35A" w14:textId="06AE5F77" w:rsidR="00BC50B6" w:rsidRPr="00BC50B6" w:rsidRDefault="00BC50B6" w:rsidP="00BC50B6">
      <w:r w:rsidRPr="00BC50B6">
        <w:rPr>
          <w:b/>
          <w:bCs/>
        </w:rPr>
        <w:t>BE IT FURTHER RESOLVED,</w:t>
      </w:r>
      <w:r>
        <w:rPr>
          <w:b/>
          <w:bCs/>
        </w:rPr>
        <w:t xml:space="preserve"> </w:t>
      </w:r>
      <w:r w:rsidRPr="00BC50B6">
        <w:t>[County Name] shall forward copies of this resolution to Governor Kathy Hochul, the New York State Legislature, and all others deemed necessary and proper.  </w:t>
      </w:r>
    </w:p>
    <w:p w14:paraId="1728013A" w14:textId="77777777" w:rsidR="009B112F" w:rsidRPr="00BC50B6" w:rsidRDefault="009B112F"/>
    <w:sectPr w:rsidR="009B112F" w:rsidRPr="00BC5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B6"/>
    <w:rsid w:val="00060652"/>
    <w:rsid w:val="00066F5F"/>
    <w:rsid w:val="00127ACD"/>
    <w:rsid w:val="00412372"/>
    <w:rsid w:val="00462D23"/>
    <w:rsid w:val="004B7FAF"/>
    <w:rsid w:val="007036C7"/>
    <w:rsid w:val="008466C0"/>
    <w:rsid w:val="00946DCE"/>
    <w:rsid w:val="009B112F"/>
    <w:rsid w:val="00B76CCF"/>
    <w:rsid w:val="00BA716D"/>
    <w:rsid w:val="00BC50B6"/>
    <w:rsid w:val="00C55005"/>
    <w:rsid w:val="00CC1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9F91D3"/>
  <w15:chartTrackingRefBased/>
  <w15:docId w15:val="{CAB9B4DA-6E0C-48EA-BCC2-8F16497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0B6"/>
    <w:rPr>
      <w:rFonts w:eastAsiaTheme="majorEastAsia" w:cstheme="majorBidi"/>
      <w:color w:val="272727" w:themeColor="text1" w:themeTint="D8"/>
    </w:rPr>
  </w:style>
  <w:style w:type="paragraph" w:styleId="Title">
    <w:name w:val="Title"/>
    <w:basedOn w:val="Normal"/>
    <w:next w:val="Normal"/>
    <w:link w:val="TitleChar"/>
    <w:uiPriority w:val="10"/>
    <w:qFormat/>
    <w:rsid w:val="00BC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0B6"/>
    <w:pPr>
      <w:spacing w:before="160"/>
      <w:jc w:val="center"/>
    </w:pPr>
    <w:rPr>
      <w:i/>
      <w:iCs/>
      <w:color w:val="404040" w:themeColor="text1" w:themeTint="BF"/>
    </w:rPr>
  </w:style>
  <w:style w:type="character" w:customStyle="1" w:styleId="QuoteChar">
    <w:name w:val="Quote Char"/>
    <w:basedOn w:val="DefaultParagraphFont"/>
    <w:link w:val="Quote"/>
    <w:uiPriority w:val="29"/>
    <w:rsid w:val="00BC50B6"/>
    <w:rPr>
      <w:i/>
      <w:iCs/>
      <w:color w:val="404040" w:themeColor="text1" w:themeTint="BF"/>
    </w:rPr>
  </w:style>
  <w:style w:type="paragraph" w:styleId="ListParagraph">
    <w:name w:val="List Paragraph"/>
    <w:basedOn w:val="Normal"/>
    <w:uiPriority w:val="34"/>
    <w:qFormat/>
    <w:rsid w:val="00BC50B6"/>
    <w:pPr>
      <w:ind w:left="720"/>
      <w:contextualSpacing/>
    </w:pPr>
  </w:style>
  <w:style w:type="character" w:styleId="IntenseEmphasis">
    <w:name w:val="Intense Emphasis"/>
    <w:basedOn w:val="DefaultParagraphFont"/>
    <w:uiPriority w:val="21"/>
    <w:qFormat/>
    <w:rsid w:val="00BC50B6"/>
    <w:rPr>
      <w:i/>
      <w:iCs/>
      <w:color w:val="2F5496" w:themeColor="accent1" w:themeShade="BF"/>
    </w:rPr>
  </w:style>
  <w:style w:type="paragraph" w:styleId="IntenseQuote">
    <w:name w:val="Intense Quote"/>
    <w:basedOn w:val="Normal"/>
    <w:next w:val="Normal"/>
    <w:link w:val="IntenseQuoteChar"/>
    <w:uiPriority w:val="30"/>
    <w:qFormat/>
    <w:rsid w:val="00BC5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0B6"/>
    <w:rPr>
      <w:i/>
      <w:iCs/>
      <w:color w:val="2F5496" w:themeColor="accent1" w:themeShade="BF"/>
    </w:rPr>
  </w:style>
  <w:style w:type="character" w:styleId="IntenseReference">
    <w:name w:val="Intense Reference"/>
    <w:basedOn w:val="DefaultParagraphFont"/>
    <w:uiPriority w:val="32"/>
    <w:qFormat/>
    <w:rsid w:val="00BC5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c3e6e3-6db2-4111-8ebf-4d0a0edb87bf">
      <Terms xmlns="http://schemas.microsoft.com/office/infopath/2007/PartnerControls"/>
    </lcf76f155ced4ddcb4097134ff3c332f>
    <TaxCatchAll xmlns="9aa28f77-8e6a-4205-b136-7f5aedc56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8" ma:contentTypeDescription="Create a new document." ma:contentTypeScope="" ma:versionID="b56cffec7aa37d2a9ac873de2235a55d">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f148f25bfc9529656171c9417b939d53"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0FB1F-B9F0-43C6-B657-64AA56565EEB}">
  <ds:schemaRefs>
    <ds:schemaRef ds:uri="http://schemas.microsoft.com/sharepoint/v3/contenttype/forms"/>
  </ds:schemaRefs>
</ds:datastoreItem>
</file>

<file path=customXml/itemProps2.xml><?xml version="1.0" encoding="utf-8"?>
<ds:datastoreItem xmlns:ds="http://schemas.openxmlformats.org/officeDocument/2006/customXml" ds:itemID="{36FFE3FA-F0F4-4CE1-9DA7-92475AB71807}">
  <ds:schemaRefs>
    <ds:schemaRef ds:uri="http://schemas.microsoft.com/office/2006/metadata/properties"/>
    <ds:schemaRef ds:uri="http://schemas.microsoft.com/office/infopath/2007/PartnerControls"/>
    <ds:schemaRef ds:uri="abc3e6e3-6db2-4111-8ebf-4d0a0edb87bf"/>
    <ds:schemaRef ds:uri="9aa28f77-8e6a-4205-b136-7f5aedc56865"/>
  </ds:schemaRefs>
</ds:datastoreItem>
</file>

<file path=customXml/itemProps3.xml><?xml version="1.0" encoding="utf-8"?>
<ds:datastoreItem xmlns:ds="http://schemas.openxmlformats.org/officeDocument/2006/customXml" ds:itemID="{187583CF-7DEA-4A83-BC0C-90A9C997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Regan</dc:creator>
  <cp:keywords/>
  <dc:description/>
  <cp:lastModifiedBy>Alexandra Regan</cp:lastModifiedBy>
  <cp:revision>1</cp:revision>
  <dcterms:created xsi:type="dcterms:W3CDTF">2026-03-23T19:03:00Z</dcterms:created>
  <dcterms:modified xsi:type="dcterms:W3CDTF">2026-03-23T22:52:00Z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720d9b3d-0f22-4622-b13b-619332948c5e</vt:lpwstr>
  </property>
  <property fmtid="{D5CDD505-2E9C-101B-9397-08002B2CF9AE}" pid="3" name="ContentTypeId">
    <vt:lpwstr>0x0101001B5605DC167A8341BF19512EBBEB45FC</vt:lpwstr>
  </property>
  <property fmtid="{D5CDD505-2E9C-101B-9397-08002B2CF9AE}" pid="4" name="docLang">
    <vt:lpwstr>en</vt:lpwstr>
  </property>
  <property fmtid="{D5CDD505-2E9C-101B-9397-08002B2CF9AE}" pid="5" name="MediaServiceImageTags">
    <vt:lpwstr/>
  </property>
</Properties>
</file>